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99" w:rsidRPr="004560CD" w:rsidRDefault="002D2C99" w:rsidP="004560CD">
      <w:pPr>
        <w:pStyle w:val="ECHRDecisionBody"/>
        <w:jc w:val="center"/>
        <w:rPr>
          <w:lang w:val="fr-FR"/>
        </w:rPr>
      </w:pPr>
    </w:p>
    <w:p w:rsidR="002D2C99" w:rsidRPr="004560CD" w:rsidRDefault="002D2C99" w:rsidP="004560CD">
      <w:pPr>
        <w:jc w:val="center"/>
        <w:rPr>
          <w:lang w:val="fr-FR"/>
        </w:rPr>
      </w:pPr>
    </w:p>
    <w:p w:rsidR="002D2C99" w:rsidRPr="004560CD" w:rsidRDefault="005A16EE" w:rsidP="004560CD">
      <w:pPr>
        <w:tabs>
          <w:tab w:val="left" w:pos="5529"/>
        </w:tabs>
        <w:jc w:val="center"/>
        <w:rPr>
          <w:lang w:val="fr-FR"/>
        </w:rPr>
      </w:pPr>
      <w:r w:rsidRPr="004560CD">
        <w:rPr>
          <w:lang w:val="fr-FR"/>
        </w:rPr>
        <w:t>DEUXIÈME SECTION</w:t>
      </w: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b/>
          <w:lang w:val="fr-FR"/>
        </w:rPr>
      </w:pPr>
      <w:r w:rsidRPr="004560CD">
        <w:rPr>
          <w:b/>
          <w:lang w:val="fr-FR"/>
        </w:rPr>
        <w:t xml:space="preserve">AFFAIRE </w:t>
      </w:r>
      <w:r w:rsidR="005A16EE" w:rsidRPr="004560CD">
        <w:rPr>
          <w:b/>
          <w:lang w:val="fr-FR"/>
        </w:rPr>
        <w:t>BATTISTA c. ITALIE</w:t>
      </w:r>
    </w:p>
    <w:p w:rsidR="002D2C99" w:rsidRPr="004560CD" w:rsidRDefault="002D2C99" w:rsidP="004560CD">
      <w:pPr>
        <w:jc w:val="center"/>
        <w:rPr>
          <w:lang w:val="fr-FR"/>
        </w:rPr>
      </w:pPr>
    </w:p>
    <w:p w:rsidR="002D2C99" w:rsidRPr="004560CD" w:rsidRDefault="002D2C99" w:rsidP="004560CD">
      <w:pPr>
        <w:jc w:val="center"/>
        <w:rPr>
          <w:i/>
          <w:lang w:val="fr-FR"/>
        </w:rPr>
      </w:pPr>
      <w:r w:rsidRPr="004560CD">
        <w:rPr>
          <w:i/>
          <w:lang w:val="fr-FR"/>
        </w:rPr>
        <w:t>(Requête n</w:t>
      </w:r>
      <w:r w:rsidRPr="004560CD">
        <w:rPr>
          <w:i/>
          <w:vertAlign w:val="superscript"/>
          <w:lang w:val="fr-FR"/>
        </w:rPr>
        <w:t>o</w:t>
      </w:r>
      <w:r w:rsidRPr="004560CD">
        <w:rPr>
          <w:i/>
          <w:lang w:val="fr-FR"/>
        </w:rPr>
        <w:t xml:space="preserve"> </w:t>
      </w:r>
      <w:r w:rsidR="005A16EE" w:rsidRPr="004560CD">
        <w:rPr>
          <w:i/>
          <w:lang w:val="fr-FR"/>
        </w:rPr>
        <w:t>43978/09</w:t>
      </w:r>
      <w:r w:rsidRPr="004560CD">
        <w:rPr>
          <w:i/>
          <w:lang w:val="fr-FR"/>
        </w:rPr>
        <w:t>)</w:t>
      </w: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lang w:val="fr-FR"/>
        </w:rPr>
      </w:pPr>
      <w:r w:rsidRPr="004560CD">
        <w:rPr>
          <w:lang w:val="fr-FR"/>
        </w:rPr>
        <w:t>ARRÊT</w:t>
      </w:r>
    </w:p>
    <w:p w:rsidR="002D2C99" w:rsidRPr="004560CD" w:rsidRDefault="002D2C99" w:rsidP="004560CD">
      <w:pPr>
        <w:jc w:val="center"/>
        <w:rPr>
          <w:lang w:val="fr-FR"/>
        </w:rPr>
      </w:pPr>
    </w:p>
    <w:p w:rsidR="002D2C99" w:rsidRPr="004560CD" w:rsidRDefault="002D2C99" w:rsidP="004560CD">
      <w:pPr>
        <w:jc w:val="center"/>
        <w:rPr>
          <w:i/>
          <w:lang w:val="fr-FR"/>
        </w:rPr>
      </w:pPr>
    </w:p>
    <w:p w:rsidR="002D2C99" w:rsidRPr="004560CD" w:rsidRDefault="002D2C99" w:rsidP="004560CD">
      <w:pPr>
        <w:jc w:val="center"/>
        <w:rPr>
          <w:lang w:val="fr-FR"/>
        </w:rPr>
      </w:pPr>
    </w:p>
    <w:p w:rsidR="002D2C99" w:rsidRPr="004560CD" w:rsidRDefault="002D2C99" w:rsidP="004560CD">
      <w:pPr>
        <w:jc w:val="center"/>
        <w:rPr>
          <w:lang w:val="fr-FR"/>
        </w:rPr>
      </w:pPr>
      <w:r w:rsidRPr="004560CD">
        <w:rPr>
          <w:lang w:val="fr-FR"/>
        </w:rPr>
        <w:t>STRASBOURG</w:t>
      </w:r>
    </w:p>
    <w:p w:rsidR="002D2C99" w:rsidRPr="004560CD" w:rsidRDefault="002D2C99" w:rsidP="004560CD">
      <w:pPr>
        <w:jc w:val="center"/>
        <w:rPr>
          <w:lang w:val="fr-FR"/>
        </w:rPr>
      </w:pPr>
    </w:p>
    <w:p w:rsidR="002D2C99" w:rsidRPr="004560CD" w:rsidRDefault="005A16EE" w:rsidP="004560CD">
      <w:pPr>
        <w:jc w:val="center"/>
        <w:rPr>
          <w:lang w:val="fr-FR"/>
        </w:rPr>
      </w:pPr>
      <w:r w:rsidRPr="004560CD">
        <w:rPr>
          <w:lang w:val="fr-FR"/>
        </w:rPr>
        <w:t xml:space="preserve">2 </w:t>
      </w:r>
      <w:r w:rsidR="00F82F87" w:rsidRPr="004560CD">
        <w:rPr>
          <w:lang w:val="fr-FR"/>
        </w:rPr>
        <w:t>décembre</w:t>
      </w:r>
      <w:r w:rsidRPr="004560CD">
        <w:rPr>
          <w:lang w:val="fr-FR"/>
        </w:rPr>
        <w:t xml:space="preserve"> 2014</w:t>
      </w:r>
    </w:p>
    <w:p w:rsidR="002D2C99" w:rsidRPr="004560CD" w:rsidRDefault="002D2C99" w:rsidP="004560CD">
      <w:pPr>
        <w:jc w:val="center"/>
        <w:rPr>
          <w:lang w:val="fr-FR"/>
        </w:rPr>
      </w:pPr>
    </w:p>
    <w:p w:rsidR="00FF0B1F" w:rsidRPr="004560CD" w:rsidRDefault="00FF0B1F" w:rsidP="004560CD">
      <w:pPr>
        <w:jc w:val="center"/>
        <w:rPr>
          <w:lang w:val="fr-FR"/>
        </w:rPr>
      </w:pPr>
    </w:p>
    <w:p w:rsidR="00FF0B1F" w:rsidRPr="004560CD" w:rsidRDefault="00FF0B1F" w:rsidP="004560CD">
      <w:pPr>
        <w:jc w:val="center"/>
        <w:rPr>
          <w:lang w:val="fr-FR"/>
        </w:rPr>
      </w:pPr>
    </w:p>
    <w:p w:rsidR="002D2C99" w:rsidRPr="004560CD" w:rsidRDefault="002D2C99" w:rsidP="004560CD">
      <w:pPr>
        <w:jc w:val="center"/>
        <w:rPr>
          <w:lang w:val="fr-FR"/>
        </w:rPr>
      </w:pPr>
    </w:p>
    <w:p w:rsidR="002D2C99" w:rsidRPr="004560CD" w:rsidRDefault="002D2C99" w:rsidP="004560CD">
      <w:pPr>
        <w:jc w:val="center"/>
        <w:rPr>
          <w:i/>
          <w:lang w:val="fr-FR"/>
        </w:rPr>
      </w:pPr>
      <w:r w:rsidRPr="004560CD">
        <w:rPr>
          <w:i/>
          <w:sz w:val="22"/>
          <w:lang w:val="fr-FR"/>
        </w:rPr>
        <w:t>Cet arrêt</w:t>
      </w:r>
      <w:r w:rsidR="005A16EE" w:rsidRPr="004560CD">
        <w:rPr>
          <w:i/>
          <w:sz w:val="22"/>
          <w:lang w:val="fr-FR"/>
        </w:rPr>
        <w:t xml:space="preserve"> deviendra définitif dans les conditions définies à l</w:t>
      </w:r>
      <w:r w:rsidR="004560CD" w:rsidRPr="004560CD">
        <w:rPr>
          <w:i/>
          <w:sz w:val="22"/>
          <w:lang w:val="fr-FR"/>
        </w:rPr>
        <w:t>’</w:t>
      </w:r>
      <w:r w:rsidR="005A16EE" w:rsidRPr="004560CD">
        <w:rPr>
          <w:i/>
          <w:sz w:val="22"/>
          <w:lang w:val="fr-FR"/>
        </w:rPr>
        <w:t>article 44 § 2 de la Convention</w:t>
      </w:r>
      <w:r w:rsidRPr="004560CD">
        <w:rPr>
          <w:i/>
          <w:sz w:val="22"/>
          <w:lang w:val="fr-FR"/>
        </w:rPr>
        <w:t>. Il peut subir des retouches de forme.</w:t>
      </w:r>
    </w:p>
    <w:p w:rsidR="002D2C99" w:rsidRPr="004560CD" w:rsidRDefault="002D2C99" w:rsidP="004560CD">
      <w:pPr>
        <w:rPr>
          <w:lang w:val="fr-FR"/>
        </w:rPr>
        <w:sectPr w:rsidR="002D2C99" w:rsidRPr="004560CD" w:rsidSect="00F5432B">
          <w:headerReference w:type="default" r:id="rId9"/>
          <w:footerReference w:type="default" r:id="rId10"/>
          <w:pgSz w:w="11906" w:h="16838" w:code="9"/>
          <w:pgMar w:top="2274" w:right="2274" w:bottom="2274" w:left="2274" w:header="1701" w:footer="720" w:gutter="0"/>
          <w:pgNumType w:start="1"/>
          <w:cols w:space="720"/>
          <w:noEndnote/>
        </w:sectPr>
      </w:pPr>
    </w:p>
    <w:p w:rsidR="002D2C99" w:rsidRPr="004560CD" w:rsidRDefault="002D2C99" w:rsidP="004560CD">
      <w:pPr>
        <w:pStyle w:val="JuCase"/>
        <w:rPr>
          <w:lang w:val="fr-FR"/>
        </w:rPr>
      </w:pPr>
      <w:r w:rsidRPr="004560CD">
        <w:rPr>
          <w:lang w:val="fr-FR"/>
        </w:rPr>
        <w:t>En l</w:t>
      </w:r>
      <w:r w:rsidR="004560CD" w:rsidRPr="004560CD">
        <w:rPr>
          <w:lang w:val="fr-FR"/>
        </w:rPr>
        <w:t>’</w:t>
      </w:r>
      <w:r w:rsidRPr="004560CD">
        <w:rPr>
          <w:lang w:val="fr-FR"/>
        </w:rPr>
        <w:t xml:space="preserve">affaire </w:t>
      </w:r>
      <w:r w:rsidR="005A16EE" w:rsidRPr="004560CD">
        <w:rPr>
          <w:lang w:val="fr-FR"/>
        </w:rPr>
        <w:t>Battista c. Italie</w:t>
      </w:r>
      <w:r w:rsidRPr="004560CD">
        <w:rPr>
          <w:lang w:val="fr-FR"/>
        </w:rPr>
        <w:t>,</w:t>
      </w:r>
    </w:p>
    <w:p w:rsidR="005A16EE" w:rsidRPr="004560CD" w:rsidRDefault="005A16EE" w:rsidP="004560CD">
      <w:pPr>
        <w:pStyle w:val="ECHRPara"/>
        <w:rPr>
          <w:lang w:val="fr-FR" w:eastAsia="fr-FR"/>
        </w:rPr>
      </w:pPr>
      <w:r w:rsidRPr="004560CD">
        <w:rPr>
          <w:lang w:val="fr-FR" w:eastAsia="fr-FR"/>
        </w:rPr>
        <w:t>La Cour européenne des droits de l</w:t>
      </w:r>
      <w:r w:rsidR="004560CD" w:rsidRPr="004560CD">
        <w:rPr>
          <w:lang w:val="fr-FR" w:eastAsia="fr-FR"/>
        </w:rPr>
        <w:t>’</w:t>
      </w:r>
      <w:r w:rsidRPr="004560CD">
        <w:rPr>
          <w:lang w:val="fr-FR" w:eastAsia="fr-FR"/>
        </w:rPr>
        <w:t>homme (deuxième section), siégeant en une chambre composée de :</w:t>
      </w:r>
    </w:p>
    <w:p w:rsidR="005A16EE" w:rsidRPr="004560CD" w:rsidRDefault="005A16EE" w:rsidP="004560CD">
      <w:pPr>
        <w:pStyle w:val="ECHRDecisionBody"/>
        <w:rPr>
          <w:lang w:val="fr-FR" w:eastAsia="fr-FR"/>
        </w:rPr>
      </w:pPr>
      <w:r w:rsidRPr="004560CD">
        <w:rPr>
          <w:lang w:val="fr-FR" w:eastAsia="fr-FR"/>
        </w:rPr>
        <w:tab/>
        <w:t>Işıl Karakaş,</w:t>
      </w:r>
      <w:r w:rsidRPr="004560CD">
        <w:rPr>
          <w:i/>
          <w:lang w:val="fr-FR" w:eastAsia="fr-FR"/>
        </w:rPr>
        <w:t xml:space="preserve"> présidente,</w:t>
      </w:r>
      <w:r w:rsidRPr="004560CD">
        <w:rPr>
          <w:i/>
          <w:lang w:val="fr-FR" w:eastAsia="fr-FR"/>
        </w:rPr>
        <w:br/>
      </w:r>
      <w:r w:rsidRPr="004560CD">
        <w:rPr>
          <w:lang w:val="fr-FR" w:eastAsia="fr-FR"/>
        </w:rPr>
        <w:tab/>
        <w:t>Guido Raimondi,</w:t>
      </w:r>
      <w:r w:rsidRPr="004560CD">
        <w:rPr>
          <w:i/>
          <w:lang w:val="fr-FR" w:eastAsia="fr-FR"/>
        </w:rPr>
        <w:br/>
      </w:r>
      <w:r w:rsidRPr="004560CD">
        <w:rPr>
          <w:lang w:val="fr-FR" w:eastAsia="fr-FR"/>
        </w:rPr>
        <w:tab/>
        <w:t>András Sajó,</w:t>
      </w:r>
      <w:r w:rsidRPr="004560CD">
        <w:rPr>
          <w:i/>
          <w:lang w:val="fr-FR" w:eastAsia="fr-FR"/>
        </w:rPr>
        <w:br/>
      </w:r>
      <w:r w:rsidRPr="004560CD">
        <w:rPr>
          <w:lang w:val="fr-FR" w:eastAsia="fr-FR"/>
        </w:rPr>
        <w:tab/>
        <w:t>Nebojša Vučinić,</w:t>
      </w:r>
      <w:r w:rsidRPr="004560CD">
        <w:rPr>
          <w:i/>
          <w:lang w:val="fr-FR" w:eastAsia="fr-FR"/>
        </w:rPr>
        <w:br/>
      </w:r>
      <w:r w:rsidRPr="004560CD">
        <w:rPr>
          <w:lang w:val="fr-FR" w:eastAsia="fr-FR"/>
        </w:rPr>
        <w:tab/>
        <w:t>Helen Keller,</w:t>
      </w:r>
      <w:r w:rsidRPr="004560CD">
        <w:rPr>
          <w:i/>
          <w:lang w:val="fr-FR" w:eastAsia="fr-FR"/>
        </w:rPr>
        <w:br/>
      </w:r>
      <w:r w:rsidRPr="004560CD">
        <w:rPr>
          <w:lang w:val="fr-FR" w:eastAsia="fr-FR"/>
        </w:rPr>
        <w:tab/>
        <w:t>Egidijus Kūris,</w:t>
      </w:r>
      <w:r w:rsidRPr="004560CD">
        <w:rPr>
          <w:i/>
          <w:lang w:val="fr-FR" w:eastAsia="fr-FR"/>
        </w:rPr>
        <w:br/>
      </w:r>
      <w:r w:rsidRPr="004560CD">
        <w:rPr>
          <w:lang w:val="fr-FR" w:eastAsia="fr-FR"/>
        </w:rPr>
        <w:tab/>
        <w:t>Robert Spano,</w:t>
      </w:r>
      <w:r w:rsidRPr="004560CD">
        <w:rPr>
          <w:i/>
          <w:lang w:val="fr-FR" w:eastAsia="fr-FR"/>
        </w:rPr>
        <w:t xml:space="preserve"> juges,</w:t>
      </w:r>
      <w:r w:rsidRPr="004560CD">
        <w:rPr>
          <w:lang w:val="fr-FR" w:eastAsia="fr-FR"/>
        </w:rPr>
        <w:br/>
        <w:t xml:space="preserve">et de Abel Campos, </w:t>
      </w:r>
      <w:r w:rsidRPr="004560CD">
        <w:rPr>
          <w:i/>
          <w:lang w:val="fr-FR" w:eastAsia="fr-FR"/>
        </w:rPr>
        <w:t>greffier</w:t>
      </w:r>
      <w:r w:rsidRPr="004560CD">
        <w:rPr>
          <w:iCs/>
          <w:lang w:val="fr-FR" w:eastAsia="fr-FR"/>
        </w:rPr>
        <w:t xml:space="preserve"> </w:t>
      </w:r>
      <w:r w:rsidRPr="004560CD">
        <w:rPr>
          <w:i/>
          <w:iCs/>
          <w:lang w:val="fr-FR" w:eastAsia="fr-FR"/>
        </w:rPr>
        <w:t>adjoint</w:t>
      </w:r>
      <w:r w:rsidRPr="004560CD">
        <w:rPr>
          <w:i/>
          <w:lang w:val="fr-FR" w:eastAsia="fr-FR"/>
        </w:rPr>
        <w:t>,</w:t>
      </w:r>
    </w:p>
    <w:p w:rsidR="005A16EE" w:rsidRPr="004560CD" w:rsidRDefault="005A16EE" w:rsidP="004560CD">
      <w:pPr>
        <w:pStyle w:val="ECHRPara"/>
        <w:rPr>
          <w:lang w:val="fr-FR" w:eastAsia="fr-FR"/>
        </w:rPr>
      </w:pPr>
      <w:r w:rsidRPr="004560CD">
        <w:rPr>
          <w:lang w:val="fr-FR" w:eastAsia="fr-FR"/>
        </w:rPr>
        <w:t>Après en avoir délibéré en chambre du conseil le 4 novembre 2014,</w:t>
      </w:r>
    </w:p>
    <w:p w:rsidR="005A16EE" w:rsidRPr="004560CD" w:rsidRDefault="005A16EE" w:rsidP="004560CD">
      <w:pPr>
        <w:pStyle w:val="ECHRPara"/>
        <w:rPr>
          <w:lang w:val="fr-FR" w:eastAsia="fr-FR"/>
        </w:rPr>
      </w:pPr>
      <w:r w:rsidRPr="004560CD">
        <w:rPr>
          <w:lang w:val="fr-FR" w:eastAsia="fr-FR"/>
        </w:rPr>
        <w:t>Rend l</w:t>
      </w:r>
      <w:r w:rsidR="004560CD" w:rsidRPr="004560CD">
        <w:rPr>
          <w:lang w:val="fr-FR" w:eastAsia="fr-FR"/>
        </w:rPr>
        <w:t>’</w:t>
      </w:r>
      <w:r w:rsidRPr="004560CD">
        <w:rPr>
          <w:lang w:val="fr-FR" w:eastAsia="fr-FR"/>
        </w:rPr>
        <w:t>arrêt que voici, adopté à cette date :</w:t>
      </w:r>
    </w:p>
    <w:p w:rsidR="005A16EE" w:rsidRPr="004560CD" w:rsidRDefault="005A16EE" w:rsidP="004560CD">
      <w:pPr>
        <w:pStyle w:val="ECHRTitle1"/>
        <w:rPr>
          <w:lang w:val="fr-FR" w:eastAsia="fr-FR"/>
        </w:rPr>
      </w:pPr>
      <w:r w:rsidRPr="004560CD">
        <w:rPr>
          <w:lang w:val="fr-FR" w:eastAsia="fr-FR"/>
        </w:rPr>
        <w:t>PROCÉDURE</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1</w:t>
      </w:r>
      <w:r w:rsidRPr="004560CD">
        <w:rPr>
          <w:noProof/>
          <w:lang w:val="fr-FR" w:eastAsia="fr-FR"/>
        </w:rPr>
        <w:fldChar w:fldCharType="end"/>
      </w:r>
      <w:r w:rsidRPr="004560CD">
        <w:rPr>
          <w:lang w:val="fr-FR" w:eastAsia="fr-FR"/>
        </w:rPr>
        <w:t>.  À l</w:t>
      </w:r>
      <w:r w:rsidR="004560CD" w:rsidRPr="004560CD">
        <w:rPr>
          <w:lang w:val="fr-FR" w:eastAsia="fr-FR"/>
        </w:rPr>
        <w:t>’</w:t>
      </w:r>
      <w:r w:rsidRPr="004560CD">
        <w:rPr>
          <w:lang w:val="fr-FR" w:eastAsia="fr-FR"/>
        </w:rPr>
        <w:t>origine de l</w:t>
      </w:r>
      <w:r w:rsidR="004560CD" w:rsidRPr="004560CD">
        <w:rPr>
          <w:lang w:val="fr-FR" w:eastAsia="fr-FR"/>
        </w:rPr>
        <w:t>’</w:t>
      </w:r>
      <w:r w:rsidRPr="004560CD">
        <w:rPr>
          <w:lang w:val="fr-FR" w:eastAsia="fr-FR"/>
        </w:rPr>
        <w:t>affaire se trouve une requête (n</w:t>
      </w:r>
      <w:r w:rsidRPr="004560CD">
        <w:rPr>
          <w:vertAlign w:val="superscript"/>
          <w:lang w:val="fr-FR" w:eastAsia="fr-FR"/>
        </w:rPr>
        <w:t>o</w:t>
      </w:r>
      <w:r w:rsidRPr="004560CD">
        <w:rPr>
          <w:lang w:val="fr-FR" w:eastAsia="fr-FR"/>
        </w:rPr>
        <w:t> 43978/09) dirigée contre la République italienne et dont un ressortissant de cet État, M. Alessandro Battista (« le requérant »), a saisi la Cour le 6 août 2009 en vertu de l</w:t>
      </w:r>
      <w:r w:rsidR="004560CD" w:rsidRPr="004560CD">
        <w:rPr>
          <w:lang w:val="fr-FR" w:eastAsia="fr-FR"/>
        </w:rPr>
        <w:t>’</w:t>
      </w:r>
      <w:r w:rsidRPr="004560CD">
        <w:rPr>
          <w:lang w:val="fr-FR" w:eastAsia="fr-FR"/>
        </w:rPr>
        <w:t>article 34 de la Convention de sauvegarde des droits de l</w:t>
      </w:r>
      <w:r w:rsidR="004560CD" w:rsidRPr="004560CD">
        <w:rPr>
          <w:lang w:val="fr-FR" w:eastAsia="fr-FR"/>
        </w:rPr>
        <w:t>’</w:t>
      </w:r>
      <w:r w:rsidRPr="004560CD">
        <w:rPr>
          <w:lang w:val="fr-FR" w:eastAsia="fr-FR"/>
        </w:rPr>
        <w:t>homme et des libertés fondamentales (« la Convention »).</w:t>
      </w:r>
    </w:p>
    <w:p w:rsidR="005A16EE" w:rsidRPr="004560CD" w:rsidRDefault="005A16EE" w:rsidP="004560CD">
      <w:pPr>
        <w:pStyle w:val="ECHRPara"/>
        <w:rPr>
          <w:lang w:val="fr-FR" w:eastAsia="fr-FR"/>
        </w:rPr>
      </w:pPr>
      <w:r w:rsidRPr="004560CD">
        <w:rPr>
          <w:lang w:val="en-GB" w:eastAsia="fr-FR"/>
        </w:rPr>
        <w:fldChar w:fldCharType="begin"/>
      </w:r>
      <w:r w:rsidRPr="004560CD">
        <w:rPr>
          <w:lang w:val="fr-FR" w:eastAsia="fr-FR"/>
        </w:rPr>
        <w:instrText xml:space="preserve"> SEQ level0 \*arabic </w:instrText>
      </w:r>
      <w:r w:rsidRPr="004560CD">
        <w:rPr>
          <w:lang w:val="en-GB" w:eastAsia="fr-FR"/>
        </w:rPr>
        <w:fldChar w:fldCharType="separate"/>
      </w:r>
      <w:r w:rsidR="00FD759F">
        <w:rPr>
          <w:noProof/>
          <w:lang w:val="fr-FR" w:eastAsia="fr-FR"/>
        </w:rPr>
        <w:t>2</w:t>
      </w:r>
      <w:r w:rsidRPr="004560CD">
        <w:rPr>
          <w:lang w:val="en-GB" w:eastAsia="fr-FR"/>
        </w:rPr>
        <w:fldChar w:fldCharType="end"/>
      </w:r>
      <w:r w:rsidRPr="004560CD">
        <w:rPr>
          <w:lang w:val="fr-FR" w:eastAsia="fr-FR"/>
        </w:rPr>
        <w:t>.  Le requérant a été représenté par M</w:t>
      </w:r>
      <w:r w:rsidRPr="004560CD">
        <w:rPr>
          <w:vertAlign w:val="superscript"/>
          <w:lang w:val="fr-FR" w:eastAsia="fr-FR"/>
        </w:rPr>
        <w:t>e</w:t>
      </w:r>
      <w:r w:rsidRPr="004560CD">
        <w:rPr>
          <w:lang w:val="fr-FR" w:eastAsia="fr-FR"/>
        </w:rPr>
        <w:t> A Battista, avocat à Naples. Le gouvernement italien (« le Gouvernement ») a été représenté par son agente, M</w:t>
      </w:r>
      <w:r w:rsidRPr="004560CD">
        <w:rPr>
          <w:vertAlign w:val="superscript"/>
          <w:lang w:val="fr-FR" w:eastAsia="fr-FR"/>
        </w:rPr>
        <w:t>me</w:t>
      </w:r>
      <w:r w:rsidRPr="004560CD">
        <w:rPr>
          <w:lang w:val="fr-FR" w:eastAsia="fr-FR"/>
        </w:rPr>
        <w:t> E. Spatafora.</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3</w:t>
      </w:r>
      <w:r w:rsidRPr="004560CD">
        <w:rPr>
          <w:noProof/>
          <w:lang w:val="fr-FR" w:eastAsia="fr-FR"/>
        </w:rPr>
        <w:fldChar w:fldCharType="end"/>
      </w:r>
      <w:r w:rsidRPr="004560CD">
        <w:rPr>
          <w:lang w:val="fr-FR" w:eastAsia="fr-FR"/>
        </w:rPr>
        <w:t>.  Le 11 avril 2011, la requête a été communiquée au Gouvernement.</w:t>
      </w:r>
    </w:p>
    <w:p w:rsidR="005A16EE" w:rsidRPr="004560CD" w:rsidRDefault="005A16EE" w:rsidP="004560CD">
      <w:pPr>
        <w:pStyle w:val="ECHRTitle1"/>
        <w:rPr>
          <w:lang w:val="fr-FR"/>
        </w:rPr>
      </w:pPr>
      <w:r w:rsidRPr="004560CD">
        <w:rPr>
          <w:lang w:val="fr-FR"/>
        </w:rPr>
        <w:t>EN FAIT</w:t>
      </w:r>
    </w:p>
    <w:p w:rsidR="005A16EE" w:rsidRPr="004560CD" w:rsidRDefault="005A16EE" w:rsidP="004560CD">
      <w:pPr>
        <w:pStyle w:val="ECHRHeading1"/>
        <w:rPr>
          <w:lang w:val="fr-FR" w:eastAsia="fr-FR"/>
        </w:rPr>
      </w:pPr>
      <w:r w:rsidRPr="004560CD">
        <w:rPr>
          <w:lang w:val="fr-FR" w:eastAsia="fr-FR"/>
        </w:rPr>
        <w:t>I.  LES CIRCONSTANCES DE L</w:t>
      </w:r>
      <w:r w:rsidR="004560CD" w:rsidRPr="004560CD">
        <w:rPr>
          <w:lang w:val="fr-FR" w:eastAsia="fr-FR"/>
        </w:rPr>
        <w:t>’</w:t>
      </w:r>
      <w:r w:rsidRPr="004560CD">
        <w:rPr>
          <w:lang w:val="fr-FR" w:eastAsia="fr-FR"/>
        </w:rPr>
        <w:t>ESPÈCE</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4</w:t>
      </w:r>
      <w:r w:rsidRPr="004560CD">
        <w:rPr>
          <w:rFonts w:eastAsia="Times New Roman"/>
          <w:lang w:val="fr-FR" w:eastAsia="fr-FR"/>
        </w:rPr>
        <w:fldChar w:fldCharType="end"/>
      </w:r>
      <w:r w:rsidRPr="004560CD">
        <w:rPr>
          <w:rFonts w:eastAsia="Times New Roman"/>
          <w:lang w:val="fr-FR" w:eastAsia="fr-FR"/>
        </w:rPr>
        <w:t>.  Le requérant, M. Alessandro Battista, est un ressortissant italien né en 1967 et résidant à Naples.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5</w:t>
      </w:r>
      <w:r w:rsidRPr="004560CD">
        <w:rPr>
          <w:rFonts w:eastAsia="Times New Roman"/>
          <w:lang w:val="fr-FR" w:eastAsia="fr-FR"/>
        </w:rPr>
        <w:fldChar w:fldCharType="end"/>
      </w:r>
      <w:r w:rsidRPr="004560CD">
        <w:rPr>
          <w:rFonts w:eastAsia="Times New Roman"/>
          <w:lang w:val="fr-FR" w:eastAsia="fr-FR"/>
        </w:rPr>
        <w:t>.  Au commencement de l</w:t>
      </w:r>
      <w:r w:rsidR="004560CD" w:rsidRPr="004560CD">
        <w:rPr>
          <w:rFonts w:eastAsia="Times New Roman"/>
          <w:lang w:val="fr-FR" w:eastAsia="fr-FR"/>
        </w:rPr>
        <w:t>’</w:t>
      </w:r>
      <w:r w:rsidRPr="004560CD">
        <w:rPr>
          <w:rFonts w:eastAsia="Times New Roman"/>
          <w:lang w:val="fr-FR" w:eastAsia="fr-FR"/>
        </w:rPr>
        <w:t>affaire, il était en instance de séparation de corps avec son épouse (D.L.), et la garde des deux enfants (G.L. et M.T.) du couple avait été attribuée de manière provisoire conjointement aux deux parents.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6</w:t>
      </w:r>
      <w:r w:rsidRPr="004560CD">
        <w:rPr>
          <w:rFonts w:eastAsia="Times New Roman"/>
          <w:lang w:val="fr-FR" w:eastAsia="fr-FR"/>
        </w:rPr>
        <w:fldChar w:fldCharType="end"/>
      </w:r>
      <w:r w:rsidRPr="004560CD">
        <w:rPr>
          <w:rFonts w:eastAsia="Times New Roman"/>
          <w:lang w:val="fr-FR" w:eastAsia="fr-FR"/>
        </w:rPr>
        <w:t>.  Le 29 août 2007, le requérant demanda au juge des tutelles un nouveau passeport avec inscription du nom de son fils G.L. Son ex-épouse s</w:t>
      </w:r>
      <w:r w:rsidR="004560CD" w:rsidRPr="004560CD">
        <w:rPr>
          <w:rFonts w:eastAsia="Times New Roman"/>
          <w:lang w:val="fr-FR" w:eastAsia="fr-FR"/>
        </w:rPr>
        <w:t>’</w:t>
      </w:r>
      <w:r w:rsidRPr="004560CD">
        <w:rPr>
          <w:rFonts w:eastAsia="Times New Roman"/>
          <w:lang w:val="fr-FR" w:eastAsia="fr-FR"/>
        </w:rPr>
        <w:t>y opposa en faisant valoir que le requérant ne versait pas la pension alimentaire fixée par le président du tribunal lors de la séparation de corps.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7</w:t>
      </w:r>
      <w:r w:rsidRPr="004560CD">
        <w:rPr>
          <w:rFonts w:eastAsia="Times New Roman"/>
          <w:lang w:val="fr-FR" w:eastAsia="fr-FR"/>
        </w:rPr>
        <w:fldChar w:fldCharType="end"/>
      </w:r>
      <w:r w:rsidRPr="004560CD">
        <w:rPr>
          <w:rFonts w:eastAsia="Times New Roman"/>
          <w:lang w:val="fr-FR" w:eastAsia="fr-FR"/>
        </w:rPr>
        <w:t>.  Par un décret du 18 septembre 2007, le juge des tutelles rejeta la demande du requérant, estimant qu</w:t>
      </w:r>
      <w:r w:rsidR="004560CD" w:rsidRPr="004560CD">
        <w:rPr>
          <w:rFonts w:eastAsia="Times New Roman"/>
          <w:lang w:val="fr-FR" w:eastAsia="fr-FR"/>
        </w:rPr>
        <w:t>’</w:t>
      </w:r>
      <w:r w:rsidRPr="004560CD">
        <w:rPr>
          <w:rFonts w:eastAsia="Times New Roman"/>
          <w:lang w:val="fr-FR" w:eastAsia="fr-FR"/>
        </w:rPr>
        <w:t>il n</w:t>
      </w:r>
      <w:r w:rsidR="004560CD" w:rsidRPr="004560CD">
        <w:rPr>
          <w:rFonts w:eastAsia="Times New Roman"/>
          <w:lang w:val="fr-FR" w:eastAsia="fr-FR"/>
        </w:rPr>
        <w:t>’</w:t>
      </w:r>
      <w:r w:rsidRPr="004560CD">
        <w:rPr>
          <w:rFonts w:eastAsia="Times New Roman"/>
          <w:lang w:val="fr-FR" w:eastAsia="fr-FR"/>
        </w:rPr>
        <w:t>était pas opportun de délivrer le passeport compte tenu de l</w:t>
      </w:r>
      <w:r w:rsidR="004560CD" w:rsidRPr="004560CD">
        <w:rPr>
          <w:rFonts w:eastAsia="Times New Roman"/>
          <w:lang w:val="fr-FR" w:eastAsia="fr-FR"/>
        </w:rPr>
        <w:t>’</w:t>
      </w:r>
      <w:r w:rsidRPr="004560CD">
        <w:rPr>
          <w:rFonts w:eastAsia="Times New Roman"/>
          <w:lang w:val="fr-FR" w:eastAsia="fr-FR"/>
        </w:rPr>
        <w:t>impératif de protéger le droit des enfants à recevoir la pension alimentaire. A cet égard, il souligna que le requérant, qui était tenu à verser une pension alimentaire de 600 Euros, ne versait qu</w:t>
      </w:r>
      <w:r w:rsidR="004560CD" w:rsidRPr="004560CD">
        <w:rPr>
          <w:rFonts w:eastAsia="Times New Roman"/>
          <w:lang w:val="fr-FR" w:eastAsia="fr-FR"/>
        </w:rPr>
        <w:t>’</w:t>
      </w:r>
      <w:r w:rsidRPr="004560CD">
        <w:rPr>
          <w:rFonts w:eastAsia="Times New Roman"/>
          <w:lang w:val="fr-FR" w:eastAsia="fr-FR"/>
        </w:rPr>
        <w:t>une petite partie (sommes allant de 45 euros à 90 euros) et qu</w:t>
      </w:r>
      <w:r w:rsidR="004560CD" w:rsidRPr="004560CD">
        <w:rPr>
          <w:rFonts w:eastAsia="Times New Roman"/>
          <w:lang w:val="fr-FR" w:eastAsia="fr-FR"/>
        </w:rPr>
        <w:t>’</w:t>
      </w:r>
      <w:r w:rsidRPr="004560CD">
        <w:rPr>
          <w:rFonts w:eastAsia="Times New Roman"/>
          <w:lang w:val="fr-FR" w:eastAsia="fr-FR"/>
        </w:rPr>
        <w:t>il était à craindre qu</w:t>
      </w:r>
      <w:r w:rsidR="004560CD" w:rsidRPr="004560CD">
        <w:rPr>
          <w:rFonts w:eastAsia="Times New Roman"/>
          <w:lang w:val="fr-FR" w:eastAsia="fr-FR"/>
        </w:rPr>
        <w:t>’</w:t>
      </w:r>
      <w:r w:rsidRPr="004560CD">
        <w:rPr>
          <w:rFonts w:eastAsia="Times New Roman"/>
          <w:lang w:val="fr-FR" w:eastAsia="fr-FR"/>
        </w:rPr>
        <w:t>en cas de déplacement à l</w:t>
      </w:r>
      <w:r w:rsidR="004560CD" w:rsidRPr="004560CD">
        <w:rPr>
          <w:rFonts w:eastAsia="Times New Roman"/>
          <w:lang w:val="fr-FR" w:eastAsia="fr-FR"/>
        </w:rPr>
        <w:t>’</w:t>
      </w:r>
      <w:r w:rsidRPr="004560CD">
        <w:rPr>
          <w:rFonts w:eastAsia="Times New Roman"/>
          <w:lang w:val="fr-FR" w:eastAsia="fr-FR"/>
        </w:rPr>
        <w:t>étranger il se soustrait complètement à son obligation.</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8</w:t>
      </w:r>
      <w:r w:rsidRPr="004560CD">
        <w:rPr>
          <w:rFonts w:eastAsia="Times New Roman"/>
          <w:lang w:val="fr-FR" w:eastAsia="fr-FR"/>
        </w:rPr>
        <w:fldChar w:fldCharType="end"/>
      </w:r>
      <w:r w:rsidRPr="004560CD">
        <w:rPr>
          <w:rFonts w:eastAsia="Times New Roman"/>
          <w:lang w:val="fr-FR" w:eastAsia="fr-FR"/>
        </w:rPr>
        <w:t>.  Par une décision du 26 octobre 2007, le juge de tutelles ordonna que l</w:t>
      </w:r>
      <w:r w:rsidR="004560CD" w:rsidRPr="004560CD">
        <w:rPr>
          <w:rFonts w:eastAsia="Times New Roman"/>
          <w:lang w:val="fr-FR" w:eastAsia="fr-FR"/>
        </w:rPr>
        <w:t>’</w:t>
      </w:r>
      <w:r w:rsidRPr="004560CD">
        <w:rPr>
          <w:rFonts w:eastAsia="Times New Roman"/>
          <w:lang w:val="fr-FR" w:eastAsia="fr-FR"/>
        </w:rPr>
        <w:t>inscription du nom de M.T. soit effacé du passeport du requérant.</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9</w:t>
      </w:r>
      <w:r w:rsidRPr="004560CD">
        <w:rPr>
          <w:rFonts w:eastAsia="Times New Roman"/>
          <w:lang w:val="fr-FR" w:eastAsia="fr-FR"/>
        </w:rPr>
        <w:fldChar w:fldCharType="end"/>
      </w:r>
      <w:r w:rsidRPr="004560CD">
        <w:rPr>
          <w:rFonts w:eastAsia="Times New Roman"/>
          <w:lang w:val="fr-FR" w:eastAsia="fr-FR"/>
        </w:rPr>
        <w:t>.  Le 31 octobre 2007, le commissaire de police (</w:t>
      </w:r>
      <w:r w:rsidRPr="004560CD">
        <w:rPr>
          <w:rFonts w:eastAsia="Times New Roman"/>
          <w:i/>
          <w:iCs/>
          <w:lang w:val="fr-FR" w:eastAsia="fr-FR"/>
        </w:rPr>
        <w:t>questore</w:t>
      </w:r>
      <w:r w:rsidRPr="004560CD">
        <w:rPr>
          <w:rFonts w:eastAsia="Times New Roman"/>
          <w:lang w:val="fr-FR" w:eastAsia="fr-FR"/>
        </w:rPr>
        <w:t>) de Naples ordonna au requérant de déposer son passeport au commissariat et invalida sa carte d</w:t>
      </w:r>
      <w:r w:rsidR="004560CD" w:rsidRPr="004560CD">
        <w:rPr>
          <w:rFonts w:eastAsia="Times New Roman"/>
          <w:lang w:val="fr-FR" w:eastAsia="fr-FR"/>
        </w:rPr>
        <w:t>’</w:t>
      </w:r>
      <w:r w:rsidRPr="004560CD">
        <w:rPr>
          <w:rFonts w:eastAsia="Times New Roman"/>
          <w:lang w:val="fr-FR" w:eastAsia="fr-FR"/>
        </w:rPr>
        <w:t>identité valable pour l</w:t>
      </w:r>
      <w:r w:rsidR="004560CD" w:rsidRPr="004560CD">
        <w:rPr>
          <w:rFonts w:eastAsia="Times New Roman"/>
          <w:lang w:val="fr-FR" w:eastAsia="fr-FR"/>
        </w:rPr>
        <w:t>’</w:t>
      </w:r>
      <w:r w:rsidRPr="004560CD">
        <w:rPr>
          <w:rFonts w:eastAsia="Times New Roman"/>
          <w:lang w:val="fr-FR" w:eastAsia="fr-FR"/>
        </w:rPr>
        <w:t>étranger.</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10</w:t>
      </w:r>
      <w:r w:rsidRPr="004560CD">
        <w:rPr>
          <w:rFonts w:eastAsia="Times New Roman"/>
          <w:lang w:val="fr-FR" w:eastAsia="fr-FR"/>
        </w:rPr>
        <w:fldChar w:fldCharType="end"/>
      </w:r>
      <w:r w:rsidRPr="004560CD">
        <w:rPr>
          <w:rFonts w:eastAsia="Times New Roman"/>
          <w:lang w:val="fr-FR" w:eastAsia="fr-FR"/>
        </w:rPr>
        <w:t>.  Le requérant attaqua la décision du juge des tutelles devant le tribunal de Naples. Il soutenait :</w:t>
      </w:r>
    </w:p>
    <w:p w:rsidR="005A16EE" w:rsidRPr="004560CD" w:rsidRDefault="005A16EE" w:rsidP="004560CD">
      <w:pPr>
        <w:pStyle w:val="ECHRPara"/>
        <w:rPr>
          <w:rFonts w:eastAsia="Times New Roman"/>
          <w:lang w:val="fr-FR" w:eastAsia="fr-FR"/>
        </w:rPr>
      </w:pPr>
      <w:r w:rsidRPr="004560CD">
        <w:rPr>
          <w:rFonts w:eastAsia="Times New Roman"/>
          <w:lang w:val="fr-FR" w:eastAsia="fr-FR"/>
        </w:rPr>
        <w:t>–</w:t>
      </w:r>
      <w:r w:rsidR="00F73F0F" w:rsidRPr="004560CD">
        <w:rPr>
          <w:rFonts w:eastAsia="Times New Roman"/>
          <w:lang w:val="fr-FR" w:eastAsia="fr-FR"/>
        </w:rPr>
        <w:t>  </w:t>
      </w:r>
      <w:r w:rsidRPr="004560CD">
        <w:rPr>
          <w:rFonts w:eastAsia="Times New Roman"/>
          <w:lang w:val="fr-FR" w:eastAsia="fr-FR"/>
        </w:rPr>
        <w:t>que selon les dispositions du président du tribunal lors de la séparation de corps, les enfants devaient passer les vacances d</w:t>
      </w:r>
      <w:r w:rsidR="004560CD" w:rsidRPr="004560CD">
        <w:rPr>
          <w:rFonts w:eastAsia="Times New Roman"/>
          <w:lang w:val="fr-FR" w:eastAsia="fr-FR"/>
        </w:rPr>
        <w:t>’</w:t>
      </w:r>
      <w:r w:rsidRPr="004560CD">
        <w:rPr>
          <w:rFonts w:eastAsia="Times New Roman"/>
          <w:lang w:val="fr-FR" w:eastAsia="fr-FR"/>
        </w:rPr>
        <w:t>été du 10 au 26</w:t>
      </w:r>
      <w:r w:rsidR="00A6733D" w:rsidRPr="004560CD">
        <w:rPr>
          <w:rFonts w:eastAsia="Times New Roman"/>
          <w:lang w:val="fr-FR" w:eastAsia="fr-FR"/>
        </w:rPr>
        <w:t> </w:t>
      </w:r>
      <w:r w:rsidRPr="004560CD">
        <w:rPr>
          <w:rFonts w:eastAsia="Times New Roman"/>
          <w:lang w:val="fr-FR" w:eastAsia="fr-FR"/>
        </w:rPr>
        <w:t>août avec lui ; que, dans cette optique, il avait souhaité les emmener en Sicile en avion ; mais qu</w:t>
      </w:r>
      <w:r w:rsidR="004560CD" w:rsidRPr="004560CD">
        <w:rPr>
          <w:rFonts w:eastAsia="Times New Roman"/>
          <w:lang w:val="fr-FR" w:eastAsia="fr-FR"/>
        </w:rPr>
        <w:t>’</w:t>
      </w:r>
      <w:r w:rsidRPr="004560CD">
        <w:rPr>
          <w:rFonts w:eastAsia="Times New Roman"/>
          <w:lang w:val="fr-FR" w:eastAsia="fr-FR"/>
        </w:rPr>
        <w:t>il fallait pour cela que les noms des deux enfants soient inscrits sur son passeport ;</w:t>
      </w:r>
    </w:p>
    <w:p w:rsidR="005A16EE" w:rsidRPr="004560CD" w:rsidRDefault="005A16EE" w:rsidP="004560CD">
      <w:pPr>
        <w:pStyle w:val="ECHRPara"/>
        <w:rPr>
          <w:rFonts w:eastAsia="Times New Roman"/>
          <w:lang w:val="fr-FR" w:eastAsia="fr-FR"/>
        </w:rPr>
      </w:pPr>
      <w:r w:rsidRPr="004560CD">
        <w:rPr>
          <w:rFonts w:eastAsia="Times New Roman"/>
          <w:lang w:val="fr-FR" w:eastAsia="fr-FR"/>
        </w:rPr>
        <w:t>–</w:t>
      </w:r>
      <w:r w:rsidR="00F73F0F" w:rsidRPr="004560CD">
        <w:rPr>
          <w:rFonts w:eastAsia="Times New Roman"/>
          <w:lang w:val="fr-FR" w:eastAsia="fr-FR"/>
        </w:rPr>
        <w:t>  </w:t>
      </w:r>
      <w:r w:rsidRPr="004560CD">
        <w:rPr>
          <w:rFonts w:eastAsia="Times New Roman"/>
          <w:lang w:val="fr-FR" w:eastAsia="fr-FR"/>
        </w:rPr>
        <w:t>qu</w:t>
      </w:r>
      <w:r w:rsidR="004560CD" w:rsidRPr="004560CD">
        <w:rPr>
          <w:rFonts w:eastAsia="Times New Roman"/>
          <w:lang w:val="fr-FR" w:eastAsia="fr-FR"/>
        </w:rPr>
        <w:t>’</w:t>
      </w:r>
      <w:r w:rsidRPr="004560CD">
        <w:rPr>
          <w:rFonts w:eastAsia="Times New Roman"/>
          <w:lang w:val="fr-FR" w:eastAsia="fr-FR"/>
        </w:rPr>
        <w:t>à cause de l</w:t>
      </w:r>
      <w:r w:rsidR="004560CD" w:rsidRPr="004560CD">
        <w:rPr>
          <w:rFonts w:eastAsia="Times New Roman"/>
          <w:lang w:val="fr-FR" w:eastAsia="fr-FR"/>
        </w:rPr>
        <w:t>’</w:t>
      </w:r>
      <w:r w:rsidRPr="004560CD">
        <w:rPr>
          <w:rFonts w:eastAsia="Times New Roman"/>
          <w:lang w:val="fr-FR" w:eastAsia="fr-FR"/>
        </w:rPr>
        <w:t>opposition de son ex-épouse et du décret du juge des tutelles, lui-même et ses enfants n</w:t>
      </w:r>
      <w:r w:rsidR="004560CD" w:rsidRPr="004560CD">
        <w:rPr>
          <w:rFonts w:eastAsia="Times New Roman"/>
          <w:lang w:val="fr-FR" w:eastAsia="fr-FR"/>
        </w:rPr>
        <w:t>’</w:t>
      </w:r>
      <w:r w:rsidRPr="004560CD">
        <w:rPr>
          <w:rFonts w:eastAsia="Times New Roman"/>
          <w:lang w:val="fr-FR" w:eastAsia="fr-FR"/>
        </w:rPr>
        <w:t>avaient pas pu partir en vacances ;</w:t>
      </w:r>
    </w:p>
    <w:p w:rsidR="005A16EE" w:rsidRPr="004560CD" w:rsidRDefault="005A16EE" w:rsidP="004560CD">
      <w:pPr>
        <w:pStyle w:val="ECHRPara"/>
        <w:rPr>
          <w:rFonts w:eastAsia="Times New Roman"/>
          <w:lang w:val="fr-FR" w:eastAsia="fr-FR"/>
        </w:rPr>
      </w:pPr>
      <w:r w:rsidRPr="004560CD">
        <w:rPr>
          <w:rFonts w:eastAsia="Times New Roman"/>
          <w:lang w:val="fr-FR" w:eastAsia="fr-FR"/>
        </w:rPr>
        <w:t>–</w:t>
      </w:r>
      <w:r w:rsidR="00F73F0F" w:rsidRPr="004560CD">
        <w:rPr>
          <w:rFonts w:eastAsia="Times New Roman"/>
          <w:lang w:val="fr-FR" w:eastAsia="fr-FR"/>
        </w:rPr>
        <w:t>  </w:t>
      </w:r>
      <w:r w:rsidRPr="004560CD">
        <w:rPr>
          <w:rFonts w:eastAsia="Times New Roman"/>
          <w:lang w:val="fr-FR" w:eastAsia="fr-FR"/>
        </w:rPr>
        <w:t>que les noms des enfants étaient inscrits sur le passeport de la mère;</w:t>
      </w:r>
    </w:p>
    <w:p w:rsidR="005A16EE" w:rsidRPr="004560CD" w:rsidRDefault="005A16EE" w:rsidP="004560CD">
      <w:pPr>
        <w:pStyle w:val="ECHRPara"/>
        <w:rPr>
          <w:rFonts w:eastAsia="Times New Roman"/>
          <w:lang w:val="fr-FR" w:eastAsia="fr-FR"/>
        </w:rPr>
      </w:pPr>
      <w:r w:rsidRPr="004560CD">
        <w:rPr>
          <w:rFonts w:eastAsia="Times New Roman"/>
          <w:lang w:val="fr-FR" w:eastAsia="fr-FR"/>
        </w:rPr>
        <w:t>–</w:t>
      </w:r>
      <w:r w:rsidR="00F73F0F" w:rsidRPr="004560CD">
        <w:rPr>
          <w:rFonts w:eastAsia="Times New Roman"/>
          <w:lang w:val="fr-FR" w:eastAsia="fr-FR"/>
        </w:rPr>
        <w:t>  </w:t>
      </w:r>
      <w:r w:rsidRPr="004560CD">
        <w:rPr>
          <w:rFonts w:eastAsia="Times New Roman"/>
          <w:lang w:val="fr-FR" w:eastAsia="fr-FR"/>
        </w:rPr>
        <w:t>que le rejet de sa demande constituait une sanction non prévue par la loi.</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11</w:t>
      </w:r>
      <w:r w:rsidRPr="004560CD">
        <w:rPr>
          <w:rFonts w:eastAsia="Times New Roman"/>
          <w:lang w:val="fr-FR" w:eastAsia="fr-FR"/>
        </w:rPr>
        <w:fldChar w:fldCharType="end"/>
      </w:r>
      <w:r w:rsidRPr="004560CD">
        <w:rPr>
          <w:rFonts w:eastAsia="Times New Roman"/>
          <w:lang w:val="fr-FR" w:eastAsia="fr-FR"/>
        </w:rPr>
        <w:t>.  Le 7 février 2008, le requérant demanda au juge des tutelles de Naples de lui délivrer un nouveau passeport, expliquant que son ex-épouse avait gardé dans l</w:t>
      </w:r>
      <w:r w:rsidR="004560CD" w:rsidRPr="004560CD">
        <w:rPr>
          <w:rFonts w:eastAsia="Times New Roman"/>
          <w:lang w:val="fr-FR" w:eastAsia="fr-FR"/>
        </w:rPr>
        <w:t>’</w:t>
      </w:r>
      <w:r w:rsidRPr="004560CD">
        <w:rPr>
          <w:rFonts w:eastAsia="Times New Roman"/>
          <w:lang w:val="fr-FR" w:eastAsia="fr-FR"/>
        </w:rPr>
        <w:t>habitation familiale sa carte d</w:t>
      </w:r>
      <w:r w:rsidR="004560CD" w:rsidRPr="004560CD">
        <w:rPr>
          <w:rFonts w:eastAsia="Times New Roman"/>
          <w:lang w:val="fr-FR" w:eastAsia="fr-FR"/>
        </w:rPr>
        <w:t>’</w:t>
      </w:r>
      <w:r w:rsidRPr="004560CD">
        <w:rPr>
          <w:rFonts w:eastAsia="Times New Roman"/>
          <w:lang w:val="fr-FR" w:eastAsia="fr-FR"/>
        </w:rPr>
        <w:t>identité et son passeport.</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12</w:t>
      </w:r>
      <w:r w:rsidRPr="004560CD">
        <w:rPr>
          <w:rFonts w:eastAsia="Times New Roman"/>
          <w:lang w:val="fr-FR" w:eastAsia="fr-FR"/>
        </w:rPr>
        <w:fldChar w:fldCharType="end"/>
      </w:r>
      <w:r w:rsidRPr="004560CD">
        <w:rPr>
          <w:rFonts w:eastAsia="Times New Roman"/>
          <w:lang w:val="fr-FR" w:eastAsia="fr-FR"/>
        </w:rPr>
        <w:t>.  Par un décret du 29 février 2008, le juge des tutelles de Naples rejeta la demande du requérant au motif qu</w:t>
      </w:r>
      <w:r w:rsidR="004560CD" w:rsidRPr="004560CD">
        <w:rPr>
          <w:rFonts w:eastAsia="Times New Roman"/>
          <w:lang w:val="fr-FR" w:eastAsia="fr-FR"/>
        </w:rPr>
        <w:t>’</w:t>
      </w:r>
      <w:r w:rsidRPr="004560CD">
        <w:rPr>
          <w:rFonts w:eastAsia="Times New Roman"/>
          <w:lang w:val="fr-FR" w:eastAsia="fr-FR"/>
        </w:rPr>
        <w:t>il ne s</w:t>
      </w:r>
      <w:r w:rsidR="004560CD" w:rsidRPr="004560CD">
        <w:rPr>
          <w:rFonts w:eastAsia="Times New Roman"/>
          <w:lang w:val="fr-FR" w:eastAsia="fr-FR"/>
        </w:rPr>
        <w:t>’</w:t>
      </w:r>
      <w:r w:rsidRPr="004560CD">
        <w:rPr>
          <w:rFonts w:eastAsia="Times New Roman"/>
          <w:lang w:val="fr-FR" w:eastAsia="fr-FR"/>
        </w:rPr>
        <w:t xml:space="preserve">était pas acquitté de la </w:t>
      </w:r>
      <w:bookmarkStart w:id="0" w:name="HIT2"/>
      <w:bookmarkEnd w:id="0"/>
      <w:r w:rsidRPr="004560CD">
        <w:rPr>
          <w:rFonts w:eastAsia="Times New Roman"/>
          <w:bCs/>
          <w:lang w:val="fr-FR" w:eastAsia="fr-FR"/>
        </w:rPr>
        <w:t>pension</w:t>
      </w:r>
      <w:r w:rsidRPr="004560CD">
        <w:rPr>
          <w:rFonts w:eastAsia="Times New Roman"/>
          <w:lang w:val="fr-FR" w:eastAsia="fr-FR"/>
        </w:rPr>
        <w:t xml:space="preserve"> alimentaire au titre de ses enfants et qu</w:t>
      </w:r>
      <w:r w:rsidR="004560CD" w:rsidRPr="004560CD">
        <w:rPr>
          <w:rFonts w:eastAsia="Times New Roman"/>
          <w:lang w:val="fr-FR" w:eastAsia="fr-FR"/>
        </w:rPr>
        <w:t>’</w:t>
      </w:r>
      <w:r w:rsidRPr="004560CD">
        <w:rPr>
          <w:rFonts w:eastAsia="Times New Roman"/>
          <w:lang w:val="fr-FR" w:eastAsia="fr-FR"/>
        </w:rPr>
        <w:t>il était à craindre que le requérant parte à l</w:t>
      </w:r>
      <w:r w:rsidR="004560CD" w:rsidRPr="004560CD">
        <w:rPr>
          <w:rFonts w:eastAsia="Times New Roman"/>
          <w:lang w:val="fr-FR" w:eastAsia="fr-FR"/>
        </w:rPr>
        <w:t>’</w:t>
      </w:r>
      <w:r w:rsidRPr="004560CD">
        <w:rPr>
          <w:rFonts w:eastAsia="Times New Roman"/>
          <w:lang w:val="fr-FR" w:eastAsia="fr-FR"/>
        </w:rPr>
        <w:t>étranger pour se soustraire complétement à son obligation.</w:t>
      </w:r>
    </w:p>
    <w:p w:rsidR="005A16EE" w:rsidRPr="004560CD" w:rsidRDefault="005A16EE" w:rsidP="004560CD">
      <w:pPr>
        <w:pStyle w:val="ECHRPara"/>
        <w:rPr>
          <w:rFonts w:eastAsia="Times New Roman"/>
          <w:lang w:val="fr-FR" w:eastAsia="fr-FR"/>
        </w:rPr>
      </w:pPr>
      <w:r w:rsidRPr="004560CD">
        <w:rPr>
          <w:rFonts w:eastAsia="Times New Roman"/>
          <w:lang w:val="fr-FR" w:eastAsia="fr-FR"/>
        </w:rPr>
        <w:t>Le requérant attaqua également cette décision devant le tribunal de Naples, en alléguant une atteinte à son droit à la libre circulation.</w:t>
      </w:r>
    </w:p>
    <w:p w:rsidR="005A16EE" w:rsidRPr="004560CD" w:rsidRDefault="005A16EE" w:rsidP="004560CD">
      <w:pPr>
        <w:pStyle w:val="ECHRPara"/>
        <w:rPr>
          <w:rFonts w:eastAsia="Times New Roman"/>
          <w:szCs w:val="24"/>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13</w:t>
      </w:r>
      <w:r w:rsidRPr="004560CD">
        <w:rPr>
          <w:rFonts w:eastAsia="Times New Roman"/>
          <w:lang w:val="fr-FR" w:eastAsia="fr-FR"/>
        </w:rPr>
        <w:fldChar w:fldCharType="end"/>
      </w:r>
      <w:r w:rsidRPr="004560CD">
        <w:rPr>
          <w:rFonts w:eastAsia="Times New Roman"/>
          <w:lang w:val="fr-FR" w:eastAsia="fr-FR"/>
        </w:rPr>
        <w:t>.  Par une décision du 5 février 2009, le tribunal de Naples joignit les recours et les rejeta. Le tribunal nota tout d</w:t>
      </w:r>
      <w:r w:rsidR="004560CD" w:rsidRPr="004560CD">
        <w:rPr>
          <w:rFonts w:eastAsia="Times New Roman"/>
          <w:lang w:val="fr-FR" w:eastAsia="fr-FR"/>
        </w:rPr>
        <w:t>’</w:t>
      </w:r>
      <w:r w:rsidRPr="004560CD">
        <w:rPr>
          <w:rFonts w:eastAsia="Times New Roman"/>
          <w:lang w:val="fr-FR" w:eastAsia="fr-FR"/>
        </w:rPr>
        <w:t xml:space="preserve">abord que la base légale de la décision du juge des tutelles était </w:t>
      </w:r>
      <w:r w:rsidRPr="004560CD">
        <w:rPr>
          <w:rFonts w:eastAsia="Times New Roman"/>
          <w:szCs w:val="24"/>
          <w:lang w:val="fr-FR" w:eastAsia="fr-FR"/>
        </w:rPr>
        <w:t>la loi du 21 novembre 1967 (n</w:t>
      </w:r>
      <w:r w:rsidRPr="004560CD">
        <w:rPr>
          <w:rFonts w:eastAsia="Times New Roman"/>
          <w:szCs w:val="24"/>
          <w:vertAlign w:val="superscript"/>
          <w:lang w:val="fr-FR" w:eastAsia="fr-FR"/>
        </w:rPr>
        <w:t>o</w:t>
      </w:r>
      <w:r w:rsidRPr="004560CD">
        <w:rPr>
          <w:rFonts w:eastAsia="Times New Roman"/>
          <w:szCs w:val="24"/>
          <w:lang w:val="fr-FR" w:eastAsia="fr-FR"/>
        </w:rPr>
        <w:t> 1185), telle que modifiée par la loi n</w:t>
      </w:r>
      <w:r w:rsidRPr="004560CD">
        <w:rPr>
          <w:rFonts w:eastAsia="Times New Roman"/>
          <w:szCs w:val="24"/>
          <w:vertAlign w:val="superscript"/>
          <w:lang w:val="fr-FR" w:eastAsia="fr-FR"/>
        </w:rPr>
        <w:t>o</w:t>
      </w:r>
      <w:r w:rsidRPr="004560CD">
        <w:rPr>
          <w:rFonts w:eastAsia="Times New Roman"/>
          <w:szCs w:val="24"/>
          <w:lang w:val="fr-FR" w:eastAsia="fr-FR"/>
        </w:rPr>
        <w:t> 3 de 2003 (loi sur les passeports).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14</w:t>
      </w:r>
      <w:r w:rsidRPr="004560CD">
        <w:rPr>
          <w:rFonts w:eastAsia="Times New Roman"/>
          <w:lang w:val="fr-FR" w:eastAsia="fr-FR"/>
        </w:rPr>
        <w:fldChar w:fldCharType="end"/>
      </w:r>
      <w:r w:rsidRPr="004560CD">
        <w:rPr>
          <w:rFonts w:eastAsia="Times New Roman"/>
          <w:lang w:val="fr-FR" w:eastAsia="fr-FR"/>
        </w:rPr>
        <w:t>.  Le tribunal considéra que le juge des tutelles avait bien compétence pour se prononcer sur la demande de passeport du requérant et sur l</w:t>
      </w:r>
      <w:r w:rsidR="004560CD" w:rsidRPr="004560CD">
        <w:rPr>
          <w:rFonts w:eastAsia="Times New Roman"/>
          <w:lang w:val="fr-FR" w:eastAsia="fr-FR"/>
        </w:rPr>
        <w:t>’</w:t>
      </w:r>
      <w:r w:rsidRPr="004560CD">
        <w:rPr>
          <w:rFonts w:eastAsia="Times New Roman"/>
          <w:lang w:val="fr-FR" w:eastAsia="fr-FR"/>
        </w:rPr>
        <w:t>insertion du nom de son fils. Quant au bien-fondé du recours, le tribunal releva que le requérant ne s</w:t>
      </w:r>
      <w:r w:rsidR="004560CD" w:rsidRPr="004560CD">
        <w:rPr>
          <w:rFonts w:eastAsia="Times New Roman"/>
          <w:lang w:val="fr-FR" w:eastAsia="fr-FR"/>
        </w:rPr>
        <w:t>’</w:t>
      </w:r>
      <w:r w:rsidRPr="004560CD">
        <w:rPr>
          <w:rFonts w:eastAsia="Times New Roman"/>
          <w:lang w:val="fr-FR" w:eastAsia="fr-FR"/>
        </w:rPr>
        <w:t>acquittait pas de l</w:t>
      </w:r>
      <w:r w:rsidR="004560CD" w:rsidRPr="004560CD">
        <w:rPr>
          <w:rFonts w:eastAsia="Times New Roman"/>
          <w:lang w:val="fr-FR" w:eastAsia="fr-FR"/>
        </w:rPr>
        <w:t>’</w:t>
      </w:r>
      <w:r w:rsidRPr="004560CD">
        <w:rPr>
          <w:rFonts w:eastAsia="Times New Roman"/>
          <w:lang w:val="fr-FR" w:eastAsia="fr-FR"/>
        </w:rPr>
        <w:t>obligation qui lui incombait au titre de la pension alimentaire et que cette hypothèse constituait l</w:t>
      </w:r>
      <w:r w:rsidR="004560CD" w:rsidRPr="004560CD">
        <w:rPr>
          <w:rFonts w:eastAsia="Times New Roman"/>
          <w:lang w:val="fr-FR" w:eastAsia="fr-FR"/>
        </w:rPr>
        <w:t>’</w:t>
      </w:r>
      <w:r w:rsidRPr="004560CD">
        <w:rPr>
          <w:rFonts w:eastAsia="Times New Roman"/>
          <w:lang w:val="fr-FR" w:eastAsia="fr-FR"/>
        </w:rPr>
        <w:t>un des motifs légaux de refus de délivrance du passeport dans l</w:t>
      </w:r>
      <w:r w:rsidR="004560CD" w:rsidRPr="004560CD">
        <w:rPr>
          <w:rFonts w:eastAsia="Times New Roman"/>
          <w:lang w:val="fr-FR" w:eastAsia="fr-FR"/>
        </w:rPr>
        <w:t>’</w:t>
      </w:r>
      <w:r w:rsidRPr="004560CD">
        <w:rPr>
          <w:rFonts w:eastAsia="Times New Roman"/>
          <w:lang w:val="fr-FR" w:eastAsia="fr-FR"/>
        </w:rPr>
        <w:t>intérêt des enfants, selon l</w:t>
      </w:r>
      <w:r w:rsidR="004560CD" w:rsidRPr="004560CD">
        <w:rPr>
          <w:rFonts w:eastAsia="Times New Roman"/>
          <w:lang w:val="fr-FR" w:eastAsia="fr-FR"/>
        </w:rPr>
        <w:t>’</w:t>
      </w:r>
      <w:r w:rsidRPr="004560CD">
        <w:rPr>
          <w:rFonts w:eastAsia="Times New Roman"/>
          <w:lang w:val="fr-FR" w:eastAsia="fr-FR"/>
        </w:rPr>
        <w:t>article 12 de la loi sur les passeports.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15</w:t>
      </w:r>
      <w:r w:rsidRPr="004560CD">
        <w:rPr>
          <w:rFonts w:eastAsia="Times New Roman"/>
          <w:lang w:val="fr-FR" w:eastAsia="fr-FR"/>
        </w:rPr>
        <w:fldChar w:fldCharType="end"/>
      </w:r>
      <w:r w:rsidRPr="004560CD">
        <w:rPr>
          <w:rFonts w:eastAsia="Times New Roman"/>
          <w:lang w:val="fr-FR" w:eastAsia="fr-FR"/>
        </w:rPr>
        <w:t>.  Le 4 novembre 2008, D.L. fut condamnée à payer une amende de 100 euros (EUR) pour non-présentation d</w:t>
      </w:r>
      <w:r w:rsidR="004560CD" w:rsidRPr="004560CD">
        <w:rPr>
          <w:rFonts w:eastAsia="Times New Roman"/>
          <w:lang w:val="fr-FR" w:eastAsia="fr-FR"/>
        </w:rPr>
        <w:t>’</w:t>
      </w:r>
      <w:r w:rsidRPr="004560CD">
        <w:rPr>
          <w:rFonts w:eastAsia="Times New Roman"/>
          <w:lang w:val="fr-FR" w:eastAsia="fr-FR"/>
        </w:rPr>
        <w:t>enfants au requérant.</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16</w:t>
      </w:r>
      <w:r w:rsidRPr="004560CD">
        <w:rPr>
          <w:rFonts w:eastAsia="Times New Roman"/>
          <w:lang w:val="fr-FR" w:eastAsia="fr-FR"/>
        </w:rPr>
        <w:fldChar w:fldCharType="end"/>
      </w:r>
      <w:r w:rsidRPr="004560CD">
        <w:rPr>
          <w:rFonts w:eastAsia="Times New Roman"/>
          <w:lang w:val="fr-FR" w:eastAsia="fr-FR"/>
        </w:rPr>
        <w:t>.  Par un décret du 8 avril 2009, le juge des tutelles délivra à sa demande à D.L. un passeport avec les noms des deux enfants.</w:t>
      </w:r>
    </w:p>
    <w:p w:rsidR="005A16EE" w:rsidRPr="004560CD" w:rsidRDefault="005A16EE" w:rsidP="004560CD">
      <w:pPr>
        <w:pStyle w:val="ECHRPara"/>
        <w:rPr>
          <w:lang w:val="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17</w:t>
      </w:r>
      <w:r w:rsidRPr="004560CD">
        <w:rPr>
          <w:rFonts w:eastAsia="Times New Roman"/>
          <w:lang w:val="fr-FR" w:eastAsia="fr-FR"/>
        </w:rPr>
        <w:fldChar w:fldCharType="end"/>
      </w:r>
      <w:r w:rsidRPr="004560CD">
        <w:rPr>
          <w:rFonts w:eastAsia="Times New Roman"/>
          <w:lang w:val="fr-FR" w:eastAsia="fr-FR"/>
        </w:rPr>
        <w:t>.  Le 21 août </w:t>
      </w:r>
      <w:r w:rsidRPr="004560CD">
        <w:rPr>
          <w:lang w:val="fr-FR"/>
        </w:rPr>
        <w:t>2012, le requérant demanda au juge des tutelles de Naples de délivrer des passeports individuels à ses enfants en application du décret législatif n</w:t>
      </w:r>
      <w:r w:rsidRPr="004560CD">
        <w:rPr>
          <w:vertAlign w:val="superscript"/>
          <w:lang w:val="fr-FR"/>
        </w:rPr>
        <w:t>o </w:t>
      </w:r>
      <w:r w:rsidRPr="004560CD">
        <w:rPr>
          <w:lang w:val="fr-FR"/>
        </w:rPr>
        <w:t>135 de 2009.</w:t>
      </w:r>
    </w:p>
    <w:p w:rsidR="005A16EE" w:rsidRPr="004560CD" w:rsidRDefault="005A16EE" w:rsidP="004560CD">
      <w:pPr>
        <w:pStyle w:val="ECHRPara"/>
        <w:rPr>
          <w:lang w:val="fr-FR"/>
        </w:rPr>
      </w:pPr>
      <w:r w:rsidRPr="004560CD">
        <w:rPr>
          <w:lang w:val="fr-FR"/>
        </w:rPr>
        <w:fldChar w:fldCharType="begin"/>
      </w:r>
      <w:r w:rsidRPr="004560CD">
        <w:rPr>
          <w:lang w:val="fr-FR"/>
        </w:rPr>
        <w:instrText xml:space="preserve"> SEQ level0 \*arabic </w:instrText>
      </w:r>
      <w:r w:rsidRPr="004560CD">
        <w:rPr>
          <w:lang w:val="fr-FR"/>
        </w:rPr>
        <w:fldChar w:fldCharType="separate"/>
      </w:r>
      <w:r w:rsidR="00FD759F">
        <w:rPr>
          <w:noProof/>
          <w:lang w:val="fr-FR"/>
        </w:rPr>
        <w:t>18</w:t>
      </w:r>
      <w:r w:rsidRPr="004560CD">
        <w:rPr>
          <w:lang w:val="fr-FR"/>
        </w:rPr>
        <w:fldChar w:fldCharType="end"/>
      </w:r>
      <w:r w:rsidRPr="004560CD">
        <w:rPr>
          <w:lang w:val="fr-FR"/>
        </w:rPr>
        <w:t>.  D.L. s</w:t>
      </w:r>
      <w:r w:rsidR="004560CD" w:rsidRPr="004560CD">
        <w:rPr>
          <w:lang w:val="fr-FR"/>
        </w:rPr>
        <w:t>’</w:t>
      </w:r>
      <w:r w:rsidRPr="004560CD">
        <w:rPr>
          <w:lang w:val="fr-FR"/>
        </w:rPr>
        <w:t>y opposa, arguant que ces passeports n</w:t>
      </w:r>
      <w:r w:rsidR="004560CD" w:rsidRPr="004560CD">
        <w:rPr>
          <w:lang w:val="fr-FR"/>
        </w:rPr>
        <w:t>’</w:t>
      </w:r>
      <w:r w:rsidRPr="004560CD">
        <w:rPr>
          <w:lang w:val="fr-FR"/>
        </w:rPr>
        <w:t>étaient pas nécessaires pour les enfants, que le requérant manquait à son obligation alimentaire depuis 2007 et qu</w:t>
      </w:r>
      <w:r w:rsidR="004560CD" w:rsidRPr="004560CD">
        <w:rPr>
          <w:lang w:val="fr-FR"/>
        </w:rPr>
        <w:t>’</w:t>
      </w:r>
      <w:r w:rsidRPr="004560CD">
        <w:rPr>
          <w:lang w:val="fr-FR"/>
        </w:rPr>
        <w:t>une procédure pénale était même pendante à ce sujet.</w:t>
      </w:r>
    </w:p>
    <w:p w:rsidR="005A16EE" w:rsidRPr="004560CD" w:rsidRDefault="005A16EE" w:rsidP="004560CD">
      <w:pPr>
        <w:pStyle w:val="ECHRPara"/>
        <w:rPr>
          <w:i/>
          <w:lang w:val="fr-FR"/>
        </w:rPr>
      </w:pPr>
      <w:r w:rsidRPr="004560CD">
        <w:rPr>
          <w:lang w:val="fr-FR"/>
        </w:rPr>
        <w:fldChar w:fldCharType="begin"/>
      </w:r>
      <w:r w:rsidRPr="004560CD">
        <w:rPr>
          <w:lang w:val="fr-FR"/>
        </w:rPr>
        <w:instrText xml:space="preserve"> SEQ level0 \*arabic </w:instrText>
      </w:r>
      <w:r w:rsidRPr="004560CD">
        <w:rPr>
          <w:lang w:val="fr-FR"/>
        </w:rPr>
        <w:fldChar w:fldCharType="separate"/>
      </w:r>
      <w:r w:rsidR="00FD759F">
        <w:rPr>
          <w:noProof/>
          <w:lang w:val="fr-FR"/>
        </w:rPr>
        <w:t>19</w:t>
      </w:r>
      <w:r w:rsidRPr="004560CD">
        <w:rPr>
          <w:lang w:val="fr-FR"/>
        </w:rPr>
        <w:fldChar w:fldCharType="end"/>
      </w:r>
      <w:r w:rsidRPr="004560CD">
        <w:rPr>
          <w:lang w:val="fr-FR"/>
        </w:rPr>
        <w:t>.  Par une décision du 3 octobre 2012, le juge des tutelles rejeta la demande du requérant. Il considéra que la procédure de séparation entre le requérant et D.L. était encore pendante et qu</w:t>
      </w:r>
      <w:r w:rsidR="004560CD" w:rsidRPr="004560CD">
        <w:rPr>
          <w:lang w:val="fr-FR"/>
        </w:rPr>
        <w:t>’</w:t>
      </w:r>
      <w:r w:rsidRPr="004560CD">
        <w:rPr>
          <w:lang w:val="fr-FR"/>
        </w:rPr>
        <w:t>à la lumière des considérations exprimées par D.L., qui avait la garde des enfants, il y avait lieu de surseoir à toute délivrance de passeports aux enfants. Le requérant n</w:t>
      </w:r>
      <w:r w:rsidR="004560CD" w:rsidRPr="004560CD">
        <w:rPr>
          <w:lang w:val="fr-FR"/>
        </w:rPr>
        <w:t>’</w:t>
      </w:r>
      <w:r w:rsidRPr="004560CD">
        <w:rPr>
          <w:lang w:val="fr-FR"/>
        </w:rPr>
        <w:t>interjeta pas appel de cette décision.</w:t>
      </w:r>
    </w:p>
    <w:p w:rsidR="005A16EE" w:rsidRPr="004560CD" w:rsidRDefault="005A16EE" w:rsidP="004560CD">
      <w:pPr>
        <w:pStyle w:val="ECHRHeading1"/>
        <w:rPr>
          <w:rFonts w:eastAsia="Times New Roman"/>
          <w:lang w:val="fr-FR" w:eastAsia="fr-FR"/>
        </w:rPr>
      </w:pPr>
      <w:r w:rsidRPr="004560CD">
        <w:rPr>
          <w:rFonts w:eastAsia="Times New Roman"/>
          <w:lang w:val="fr-FR" w:eastAsia="fr-FR"/>
        </w:rPr>
        <w:t>II.  LE DROIT INTERNE ET INTERNATIONAL PERTINENT</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20</w:t>
      </w:r>
      <w:r w:rsidRPr="004560CD">
        <w:rPr>
          <w:rFonts w:eastAsia="Times New Roman"/>
          <w:lang w:val="fr-FR" w:eastAsia="fr-FR"/>
        </w:rPr>
        <w:fldChar w:fldCharType="end"/>
      </w:r>
      <w:r w:rsidRPr="004560CD">
        <w:rPr>
          <w:rFonts w:eastAsia="Times New Roman"/>
          <w:lang w:val="fr-FR" w:eastAsia="fr-FR"/>
        </w:rPr>
        <w:t>.  La loi du 21 novembre 1967 (n</w:t>
      </w:r>
      <w:r w:rsidRPr="004560CD">
        <w:rPr>
          <w:rFonts w:eastAsia="Times New Roman"/>
          <w:vertAlign w:val="superscript"/>
          <w:lang w:val="fr-FR" w:eastAsia="fr-FR"/>
        </w:rPr>
        <w:t>o</w:t>
      </w:r>
      <w:r w:rsidRPr="004560CD">
        <w:rPr>
          <w:rFonts w:eastAsia="Times New Roman"/>
          <w:lang w:val="fr-FR" w:eastAsia="fr-FR"/>
        </w:rPr>
        <w:t> 1185), telle que modifiée par la loi n</w:t>
      </w:r>
      <w:r w:rsidRPr="004560CD">
        <w:rPr>
          <w:rFonts w:eastAsia="Times New Roman"/>
          <w:vertAlign w:val="superscript"/>
          <w:lang w:val="fr-FR" w:eastAsia="fr-FR"/>
        </w:rPr>
        <w:t>o</w:t>
      </w:r>
      <w:r w:rsidRPr="004560CD">
        <w:rPr>
          <w:rFonts w:eastAsia="Times New Roman"/>
          <w:lang w:val="fr-FR" w:eastAsia="fr-FR"/>
        </w:rPr>
        <w:t> 3 de 2003, prévoit :</w:t>
      </w:r>
    </w:p>
    <w:p w:rsidR="005A16EE" w:rsidRPr="004560CD" w:rsidRDefault="005A16EE" w:rsidP="004560CD">
      <w:pPr>
        <w:pStyle w:val="ECHRTitleCentre3"/>
        <w:rPr>
          <w:rFonts w:eastAsia="Times New Roman"/>
          <w:lang w:val="fr-FR" w:eastAsia="fr-FR"/>
        </w:rPr>
      </w:pPr>
      <w:r w:rsidRPr="004560CD">
        <w:rPr>
          <w:rFonts w:eastAsia="Times New Roman"/>
          <w:lang w:val="fr-FR" w:eastAsia="fr-FR"/>
        </w:rPr>
        <w:t>Article 3</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Le passeport ne peut pas être délivré :</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a)</w:t>
      </w:r>
      <w:r w:rsidR="00F73F0F" w:rsidRPr="004560CD">
        <w:rPr>
          <w:rFonts w:eastAsia="Times New Roman"/>
          <w:lang w:val="fr-FR" w:eastAsia="fr-FR"/>
        </w:rPr>
        <w:t> </w:t>
      </w:r>
      <w:r w:rsidRPr="004560CD">
        <w:rPr>
          <w:rFonts w:eastAsia="Times New Roman"/>
          <w:lang w:val="fr-FR" w:eastAsia="fr-FR"/>
        </w:rPr>
        <w:t>aux enfants qui, étant assujettis à l</w:t>
      </w:r>
      <w:r w:rsidR="004560CD" w:rsidRPr="004560CD">
        <w:rPr>
          <w:rFonts w:eastAsia="Times New Roman"/>
          <w:lang w:val="fr-FR" w:eastAsia="fr-FR"/>
        </w:rPr>
        <w:t>’</w:t>
      </w:r>
      <w:r w:rsidRPr="004560CD">
        <w:rPr>
          <w:rFonts w:eastAsia="Times New Roman"/>
          <w:lang w:val="fr-FR" w:eastAsia="fr-FR"/>
        </w:rPr>
        <w:t>autorité parentale, n</w:t>
      </w:r>
      <w:r w:rsidR="004560CD" w:rsidRPr="004560CD">
        <w:rPr>
          <w:rFonts w:eastAsia="Times New Roman"/>
          <w:lang w:val="fr-FR" w:eastAsia="fr-FR"/>
        </w:rPr>
        <w:t>’</w:t>
      </w:r>
      <w:r w:rsidRPr="004560CD">
        <w:rPr>
          <w:rFonts w:eastAsia="Times New Roman"/>
          <w:lang w:val="fr-FR" w:eastAsia="fr-FR"/>
        </w:rPr>
        <w:t>ont pas le consentement des parents, ou à défaut l</w:t>
      </w:r>
      <w:r w:rsidR="004560CD" w:rsidRPr="004560CD">
        <w:rPr>
          <w:rFonts w:eastAsia="Times New Roman"/>
          <w:lang w:val="fr-FR" w:eastAsia="fr-FR"/>
        </w:rPr>
        <w:t>’</w:t>
      </w:r>
      <w:r w:rsidRPr="004560CD">
        <w:rPr>
          <w:rFonts w:eastAsia="Times New Roman"/>
          <w:lang w:val="fr-FR" w:eastAsia="fr-FR"/>
        </w:rPr>
        <w:t>autorisation du juge des tutelles ;</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b)</w:t>
      </w:r>
      <w:r w:rsidR="00F73F0F" w:rsidRPr="004560CD">
        <w:rPr>
          <w:rFonts w:eastAsia="Times New Roman"/>
          <w:lang w:val="fr-FR" w:eastAsia="fr-FR"/>
        </w:rPr>
        <w:t> </w:t>
      </w:r>
      <w:r w:rsidRPr="004560CD">
        <w:rPr>
          <w:rFonts w:eastAsia="Times New Roman"/>
          <w:lang w:val="fr-FR" w:eastAsia="fr-FR"/>
        </w:rPr>
        <w:t>aux parents qui, ayant des enfants mineurs, n</w:t>
      </w:r>
      <w:r w:rsidR="004560CD" w:rsidRPr="004560CD">
        <w:rPr>
          <w:rFonts w:eastAsia="Times New Roman"/>
          <w:lang w:val="fr-FR" w:eastAsia="fr-FR"/>
        </w:rPr>
        <w:t>’</w:t>
      </w:r>
      <w:r w:rsidRPr="004560CD">
        <w:rPr>
          <w:rFonts w:eastAsia="Times New Roman"/>
          <w:lang w:val="fr-FR" w:eastAsia="fr-FR"/>
        </w:rPr>
        <w:t>ont pas l</w:t>
      </w:r>
      <w:r w:rsidR="004560CD" w:rsidRPr="004560CD">
        <w:rPr>
          <w:rFonts w:eastAsia="Times New Roman"/>
          <w:lang w:val="fr-FR" w:eastAsia="fr-FR"/>
        </w:rPr>
        <w:t>’</w:t>
      </w:r>
      <w:r w:rsidRPr="004560CD">
        <w:rPr>
          <w:rFonts w:eastAsia="Times New Roman"/>
          <w:lang w:val="fr-FR" w:eastAsia="fr-FR"/>
        </w:rPr>
        <w:t>autorisation du juge des tutelles. Cette autorisation n</w:t>
      </w:r>
      <w:r w:rsidR="004560CD" w:rsidRPr="004560CD">
        <w:rPr>
          <w:rFonts w:eastAsia="Times New Roman"/>
          <w:lang w:val="fr-FR" w:eastAsia="fr-FR"/>
        </w:rPr>
        <w:t>’</w:t>
      </w:r>
      <w:r w:rsidRPr="004560CD">
        <w:rPr>
          <w:rFonts w:eastAsia="Times New Roman"/>
          <w:lang w:val="fr-FR" w:eastAsia="fr-FR"/>
        </w:rPr>
        <w:t>est pas nécessaire s</w:t>
      </w:r>
      <w:r w:rsidR="004560CD" w:rsidRPr="004560CD">
        <w:rPr>
          <w:rFonts w:eastAsia="Times New Roman"/>
          <w:lang w:val="fr-FR" w:eastAsia="fr-FR"/>
        </w:rPr>
        <w:t>’</w:t>
      </w:r>
      <w:r w:rsidRPr="004560CD">
        <w:rPr>
          <w:rFonts w:eastAsia="Times New Roman"/>
          <w:lang w:val="fr-FR" w:eastAsia="fr-FR"/>
        </w:rPr>
        <w:t xml:space="preserve">il y a </w:t>
      </w:r>
      <w:r w:rsidRPr="004560CD">
        <w:rPr>
          <w:rFonts w:ascii="Times New Roman" w:eastAsia="Times New Roman" w:hAnsi="Times New Roman" w:cs="Times New Roman"/>
          <w:lang w:val="fr-FR" w:eastAsia="fr-FR"/>
        </w:rPr>
        <w:t>consentement de l</w:t>
      </w:r>
      <w:r w:rsidR="004560CD" w:rsidRPr="004560CD">
        <w:rPr>
          <w:rFonts w:ascii="Times New Roman" w:eastAsia="Times New Roman" w:hAnsi="Times New Roman" w:cs="Times New Roman"/>
          <w:lang w:val="fr-FR" w:eastAsia="fr-FR"/>
        </w:rPr>
        <w:t>’</w:t>
      </w:r>
      <w:r w:rsidRPr="004560CD">
        <w:rPr>
          <w:rFonts w:ascii="Times New Roman" w:eastAsia="Times New Roman" w:hAnsi="Times New Roman" w:cs="Times New Roman"/>
          <w:lang w:val="fr-FR" w:eastAsia="fr-FR"/>
        </w:rPr>
        <w:t>autre parent,</w:t>
      </w:r>
      <w:r w:rsidRPr="004560CD">
        <w:rPr>
          <w:rFonts w:eastAsia="Times New Roman"/>
          <w:lang w:val="fr-FR" w:eastAsia="fr-FR"/>
        </w:rPr>
        <w:t xml:space="preserve"> ou si un des deux parents a la garde exclusive (...).</w:t>
      </w:r>
    </w:p>
    <w:p w:rsidR="005A16EE" w:rsidRPr="004560CD" w:rsidRDefault="005A16EE" w:rsidP="004560CD">
      <w:pPr>
        <w:pStyle w:val="ECHRTitleCentre3"/>
        <w:rPr>
          <w:rFonts w:eastAsia="Times New Roman"/>
          <w:lang w:val="fr-FR" w:eastAsia="fr-FR"/>
        </w:rPr>
      </w:pPr>
      <w:r w:rsidRPr="004560CD">
        <w:rPr>
          <w:rFonts w:eastAsia="Times New Roman"/>
          <w:lang w:val="fr-FR" w:eastAsia="fr-FR"/>
        </w:rPr>
        <w:t>Article 12</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Le passeport peut être retiré quand la personne se trouve à l</w:t>
      </w:r>
      <w:r w:rsidR="004560CD" w:rsidRPr="004560CD">
        <w:rPr>
          <w:rFonts w:eastAsia="Times New Roman"/>
          <w:lang w:val="fr-FR" w:eastAsia="fr-FR"/>
        </w:rPr>
        <w:t>’</w:t>
      </w:r>
      <w:r w:rsidRPr="004560CD">
        <w:rPr>
          <w:rFonts w:eastAsia="Times New Roman"/>
          <w:lang w:val="fr-FR" w:eastAsia="fr-FR"/>
        </w:rPr>
        <w:t>étranger et n</w:t>
      </w:r>
      <w:r w:rsidR="004560CD" w:rsidRPr="004560CD">
        <w:rPr>
          <w:rFonts w:eastAsia="Times New Roman"/>
          <w:lang w:val="fr-FR" w:eastAsia="fr-FR"/>
        </w:rPr>
        <w:t>’</w:t>
      </w:r>
      <w:r w:rsidRPr="004560CD">
        <w:rPr>
          <w:rFonts w:eastAsia="Times New Roman"/>
          <w:lang w:val="fr-FR" w:eastAsia="fr-FR"/>
        </w:rPr>
        <w:t>est pas en mesure de prouver le paiement de la pension alimentaire établie par décision de l</w:t>
      </w:r>
      <w:r w:rsidR="004560CD" w:rsidRPr="004560CD">
        <w:rPr>
          <w:rFonts w:eastAsia="Times New Roman"/>
          <w:lang w:val="fr-FR" w:eastAsia="fr-FR"/>
        </w:rPr>
        <w:t>’</w:t>
      </w:r>
      <w:r w:rsidRPr="004560CD">
        <w:rPr>
          <w:rFonts w:eastAsia="Times New Roman"/>
          <w:lang w:val="fr-FR" w:eastAsia="fr-FR"/>
        </w:rPr>
        <w:t>autorité judiciaire en faveur des enfants mineurs (...).</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21</w:t>
      </w:r>
      <w:r w:rsidRPr="004560CD">
        <w:rPr>
          <w:rFonts w:eastAsia="Times New Roman"/>
          <w:lang w:val="fr-FR" w:eastAsia="fr-FR"/>
        </w:rPr>
        <w:fldChar w:fldCharType="end"/>
      </w:r>
      <w:r w:rsidRPr="004560CD">
        <w:rPr>
          <w:rFonts w:eastAsia="Times New Roman"/>
          <w:lang w:val="fr-FR" w:eastAsia="fr-FR"/>
        </w:rPr>
        <w:t>.  Dans la pratique, deux exceptions existent, où la délivrance du passeport reste admise : lorsque l</w:t>
      </w:r>
      <w:r w:rsidR="004560CD" w:rsidRPr="004560CD">
        <w:rPr>
          <w:rFonts w:eastAsia="Times New Roman"/>
          <w:lang w:val="fr-FR" w:eastAsia="fr-FR"/>
        </w:rPr>
        <w:t>’</w:t>
      </w:r>
      <w:r w:rsidRPr="004560CD">
        <w:rPr>
          <w:rFonts w:eastAsia="Times New Roman"/>
          <w:lang w:val="fr-FR" w:eastAsia="fr-FR"/>
        </w:rPr>
        <w:t>intéressé a démontré la nécessité de se soigner à l</w:t>
      </w:r>
      <w:r w:rsidR="004560CD" w:rsidRPr="004560CD">
        <w:rPr>
          <w:rFonts w:eastAsia="Times New Roman"/>
          <w:lang w:val="fr-FR" w:eastAsia="fr-FR"/>
        </w:rPr>
        <w:t>’</w:t>
      </w:r>
      <w:r w:rsidRPr="004560CD">
        <w:rPr>
          <w:rFonts w:eastAsia="Times New Roman"/>
          <w:lang w:val="fr-FR" w:eastAsia="fr-FR"/>
        </w:rPr>
        <w:t>étranger ; et lorsqu</w:t>
      </w:r>
      <w:r w:rsidR="004560CD" w:rsidRPr="004560CD">
        <w:rPr>
          <w:rFonts w:eastAsia="Times New Roman"/>
          <w:lang w:val="fr-FR" w:eastAsia="fr-FR"/>
        </w:rPr>
        <w:t>’</w:t>
      </w:r>
      <w:r w:rsidRPr="004560CD">
        <w:rPr>
          <w:rFonts w:eastAsia="Times New Roman"/>
          <w:lang w:val="fr-FR" w:eastAsia="fr-FR"/>
        </w:rPr>
        <w:t>il doit se rendre à l</w:t>
      </w:r>
      <w:r w:rsidR="004560CD" w:rsidRPr="004560CD">
        <w:rPr>
          <w:rFonts w:eastAsia="Times New Roman"/>
          <w:lang w:val="fr-FR" w:eastAsia="fr-FR"/>
        </w:rPr>
        <w:t>’</w:t>
      </w:r>
      <w:r w:rsidRPr="004560CD">
        <w:rPr>
          <w:rFonts w:eastAsia="Times New Roman"/>
          <w:lang w:val="fr-FR" w:eastAsia="fr-FR"/>
        </w:rPr>
        <w:t>étranger pour des raisons de travail.</w:t>
      </w:r>
    </w:p>
    <w:p w:rsidR="005A16EE" w:rsidRPr="004560CD" w:rsidRDefault="005A16EE" w:rsidP="004560CD">
      <w:pPr>
        <w:pStyle w:val="ECHRPara"/>
        <w:rPr>
          <w:rFonts w:eastAsia="Times New Roman"/>
          <w:lang w:val="fr-FR" w:eastAsia="en-GB"/>
        </w:rPr>
      </w:pPr>
      <w:r w:rsidRPr="004560CD">
        <w:rPr>
          <w:rFonts w:eastAsia="Times New Roman"/>
          <w:lang w:val="fr-FR" w:eastAsia="en-GB"/>
        </w:rPr>
        <w:fldChar w:fldCharType="begin"/>
      </w:r>
      <w:r w:rsidRPr="004560CD">
        <w:rPr>
          <w:rFonts w:eastAsia="Times New Roman"/>
          <w:lang w:val="fr-FR" w:eastAsia="en-GB"/>
        </w:rPr>
        <w:instrText xml:space="preserve"> SEQ level0 \*arabic </w:instrText>
      </w:r>
      <w:r w:rsidRPr="004560CD">
        <w:rPr>
          <w:rFonts w:eastAsia="Times New Roman"/>
          <w:lang w:val="fr-FR" w:eastAsia="en-GB"/>
        </w:rPr>
        <w:fldChar w:fldCharType="separate"/>
      </w:r>
      <w:r w:rsidR="00FD759F">
        <w:rPr>
          <w:rFonts w:eastAsia="Times New Roman"/>
          <w:noProof/>
          <w:lang w:val="fr-FR" w:eastAsia="en-GB"/>
        </w:rPr>
        <w:t>22</w:t>
      </w:r>
      <w:r w:rsidRPr="004560CD">
        <w:rPr>
          <w:rFonts w:eastAsia="Times New Roman"/>
          <w:lang w:val="fr-FR" w:eastAsia="en-GB"/>
        </w:rPr>
        <w:fldChar w:fldCharType="end"/>
      </w:r>
      <w:r w:rsidRPr="004560CD">
        <w:rPr>
          <w:rFonts w:eastAsia="Times New Roman"/>
          <w:lang w:val="fr-FR" w:eastAsia="en-GB"/>
        </w:rPr>
        <w:t>.  Le décret législatif n</w:t>
      </w:r>
      <w:r w:rsidRPr="004560CD">
        <w:rPr>
          <w:rFonts w:eastAsia="Times New Roman"/>
          <w:vertAlign w:val="superscript"/>
          <w:lang w:val="fr-FR" w:eastAsia="en-GB"/>
        </w:rPr>
        <w:t>o</w:t>
      </w:r>
      <w:r w:rsidRPr="004560CD">
        <w:rPr>
          <w:rFonts w:eastAsia="Times New Roman"/>
          <w:lang w:val="fr-FR" w:eastAsia="en-GB"/>
        </w:rPr>
        <w:t> 135 de 2009 a introduit l</w:t>
      </w:r>
      <w:r w:rsidR="004560CD" w:rsidRPr="004560CD">
        <w:rPr>
          <w:rFonts w:eastAsia="Times New Roman"/>
          <w:lang w:val="fr-FR" w:eastAsia="en-GB"/>
        </w:rPr>
        <w:t>’</w:t>
      </w:r>
      <w:r w:rsidRPr="004560CD">
        <w:rPr>
          <w:rFonts w:eastAsia="Times New Roman"/>
          <w:lang w:val="fr-FR" w:eastAsia="en-GB"/>
        </w:rPr>
        <w:t>obligation pour les enfants mineurs de détenir un passeport individuel. Ainsi, depuis le 25 novembre 2009, il n</w:t>
      </w:r>
      <w:r w:rsidR="004560CD" w:rsidRPr="004560CD">
        <w:rPr>
          <w:rFonts w:eastAsia="Times New Roman"/>
          <w:lang w:val="fr-FR" w:eastAsia="en-GB"/>
        </w:rPr>
        <w:t>’</w:t>
      </w:r>
      <w:r w:rsidRPr="004560CD">
        <w:rPr>
          <w:rFonts w:eastAsia="Times New Roman"/>
          <w:lang w:val="fr-FR" w:eastAsia="en-GB"/>
        </w:rPr>
        <w:t>est plus possible d</w:t>
      </w:r>
      <w:r w:rsidR="004560CD" w:rsidRPr="004560CD">
        <w:rPr>
          <w:rFonts w:eastAsia="Times New Roman"/>
          <w:lang w:val="fr-FR" w:eastAsia="en-GB"/>
        </w:rPr>
        <w:t>’</w:t>
      </w:r>
      <w:r w:rsidRPr="004560CD">
        <w:rPr>
          <w:rFonts w:eastAsia="Times New Roman"/>
          <w:lang w:val="fr-FR" w:eastAsia="en-GB"/>
        </w:rPr>
        <w:t>inscrire les mineurs sur les passeports des parents. Les inscriptions effectuées avant cette date restent valables selon les modalités prévues par la législation alors en vigueur. La durée de validité du passeport pour les enfants mineurs varie en fonction de l</w:t>
      </w:r>
      <w:r w:rsidR="004560CD" w:rsidRPr="004560CD">
        <w:rPr>
          <w:rFonts w:eastAsia="Times New Roman"/>
          <w:lang w:val="fr-FR" w:eastAsia="en-GB"/>
        </w:rPr>
        <w:t>’</w:t>
      </w:r>
      <w:r w:rsidRPr="004560CD">
        <w:rPr>
          <w:rFonts w:eastAsia="Times New Roman"/>
          <w:lang w:val="fr-FR" w:eastAsia="en-GB"/>
        </w:rPr>
        <w:t>âge : 3 ans pour les enfants de zéro à trois ans ; 5 ans pour les enfants de trois à dix-huit ans.</w:t>
      </w:r>
    </w:p>
    <w:p w:rsidR="005A16EE" w:rsidRPr="004560CD" w:rsidRDefault="005A16EE" w:rsidP="004560CD">
      <w:pPr>
        <w:pStyle w:val="ECHRPara"/>
        <w:rPr>
          <w:rFonts w:eastAsia="Times New Roman"/>
          <w:lang w:val="fr-FR" w:eastAsia="en-GB"/>
        </w:rPr>
      </w:pPr>
      <w:r w:rsidRPr="004560CD">
        <w:rPr>
          <w:rFonts w:eastAsia="Times New Roman"/>
          <w:lang w:val="fr-FR" w:eastAsia="en-GB"/>
        </w:rPr>
        <w:fldChar w:fldCharType="begin"/>
      </w:r>
      <w:r w:rsidRPr="004560CD">
        <w:rPr>
          <w:rFonts w:eastAsia="Times New Roman"/>
          <w:lang w:val="fr-FR" w:eastAsia="en-GB"/>
        </w:rPr>
        <w:instrText xml:space="preserve"> SEQ level0 \*arabic </w:instrText>
      </w:r>
      <w:r w:rsidRPr="004560CD">
        <w:rPr>
          <w:rFonts w:eastAsia="Times New Roman"/>
          <w:lang w:val="fr-FR" w:eastAsia="en-GB"/>
        </w:rPr>
        <w:fldChar w:fldCharType="separate"/>
      </w:r>
      <w:r w:rsidR="00FD759F">
        <w:rPr>
          <w:rFonts w:eastAsia="Times New Roman"/>
          <w:noProof/>
          <w:lang w:val="fr-FR" w:eastAsia="en-GB"/>
        </w:rPr>
        <w:t>23</w:t>
      </w:r>
      <w:r w:rsidRPr="004560CD">
        <w:rPr>
          <w:rFonts w:eastAsia="Times New Roman"/>
          <w:lang w:val="fr-FR" w:eastAsia="en-GB"/>
        </w:rPr>
        <w:fldChar w:fldCharType="end"/>
      </w:r>
      <w:r w:rsidRPr="004560CD">
        <w:rPr>
          <w:rFonts w:eastAsia="Times New Roman"/>
          <w:lang w:val="fr-FR" w:eastAsia="en-GB"/>
        </w:rPr>
        <w:t xml:space="preserve">.  Le </w:t>
      </w:r>
      <w:r w:rsidR="001F325B" w:rsidRPr="004560CD">
        <w:rPr>
          <w:rFonts w:eastAsia="Times New Roman"/>
          <w:bCs/>
          <w:lang w:val="fr-FR" w:eastAsia="en-GB"/>
        </w:rPr>
        <w:t>Règlement (CE) n</w:t>
      </w:r>
      <w:r w:rsidR="001F325B" w:rsidRPr="004560CD">
        <w:rPr>
          <w:rFonts w:eastAsia="Times New Roman"/>
          <w:bCs/>
          <w:vertAlign w:val="superscript"/>
          <w:lang w:val="fr-FR" w:eastAsia="en-GB"/>
        </w:rPr>
        <w:t>o</w:t>
      </w:r>
      <w:r w:rsidR="001F325B" w:rsidRPr="004560CD">
        <w:rPr>
          <w:rFonts w:eastAsia="Times New Roman"/>
          <w:bCs/>
          <w:lang w:val="fr-FR" w:eastAsia="en-GB"/>
        </w:rPr>
        <w:t xml:space="preserve"> 4/2009 </w:t>
      </w:r>
      <w:r w:rsidRPr="004560CD">
        <w:rPr>
          <w:rFonts w:eastAsia="Times New Roman"/>
          <w:lang w:val="fr-FR" w:eastAsia="en-GB"/>
        </w:rPr>
        <w:t>du 18 décembre 2008 relatif à la compétence, la loi applicable, la reconnaissance et l</w:t>
      </w:r>
      <w:r w:rsidR="004560CD" w:rsidRPr="004560CD">
        <w:rPr>
          <w:rFonts w:eastAsia="Times New Roman"/>
          <w:lang w:val="fr-FR" w:eastAsia="en-GB"/>
        </w:rPr>
        <w:t>’</w:t>
      </w:r>
      <w:r w:rsidRPr="004560CD">
        <w:rPr>
          <w:rFonts w:eastAsia="Times New Roman"/>
          <w:lang w:val="fr-FR" w:eastAsia="en-GB"/>
        </w:rPr>
        <w:t>exécution des décisions et la coopération en matière d</w:t>
      </w:r>
      <w:r w:rsidR="004560CD" w:rsidRPr="004560CD">
        <w:rPr>
          <w:rFonts w:eastAsia="Times New Roman"/>
          <w:lang w:val="fr-FR" w:eastAsia="en-GB"/>
        </w:rPr>
        <w:t>’</w:t>
      </w:r>
      <w:r w:rsidRPr="004560CD">
        <w:rPr>
          <w:rFonts w:eastAsia="Times New Roman"/>
          <w:lang w:val="fr-FR" w:eastAsia="en-GB"/>
        </w:rPr>
        <w:t>obligations alimentaires</w:t>
      </w:r>
      <w:r w:rsidRPr="004560CD">
        <w:rPr>
          <w:rFonts w:ascii="Verdana" w:hAnsi="Verdana"/>
          <w:sz w:val="19"/>
          <w:szCs w:val="19"/>
          <w:lang w:val="fr-FR"/>
        </w:rPr>
        <w:t xml:space="preserve"> </w:t>
      </w:r>
      <w:r w:rsidRPr="004560CD">
        <w:rPr>
          <w:rFonts w:eastAsia="Times New Roman"/>
          <w:lang w:val="fr-FR" w:eastAsia="en-GB"/>
        </w:rPr>
        <w:t>propose une série de mesures visant à faciliter le paiement des créances alimentaires dans des situations transfrontalières.</w:t>
      </w:r>
    </w:p>
    <w:p w:rsidR="005A16EE" w:rsidRPr="004560CD" w:rsidRDefault="005A16EE" w:rsidP="004560CD">
      <w:pPr>
        <w:pStyle w:val="ECHRPara"/>
        <w:rPr>
          <w:rFonts w:eastAsia="Calibri"/>
          <w:lang w:val="fr-FR"/>
        </w:rPr>
      </w:pPr>
      <w:r w:rsidRPr="004560CD">
        <w:rPr>
          <w:rFonts w:eastAsia="Times New Roman"/>
          <w:lang w:val="fr-FR" w:eastAsia="en-GB"/>
        </w:rPr>
        <w:fldChar w:fldCharType="begin"/>
      </w:r>
      <w:r w:rsidRPr="004560CD">
        <w:rPr>
          <w:rFonts w:eastAsia="Times New Roman"/>
          <w:lang w:val="fr-FR" w:eastAsia="en-GB"/>
        </w:rPr>
        <w:instrText xml:space="preserve"> SEQ level0 \*arabic </w:instrText>
      </w:r>
      <w:r w:rsidRPr="004560CD">
        <w:rPr>
          <w:rFonts w:eastAsia="Times New Roman"/>
          <w:lang w:val="fr-FR" w:eastAsia="en-GB"/>
        </w:rPr>
        <w:fldChar w:fldCharType="separate"/>
      </w:r>
      <w:r w:rsidR="00FD759F">
        <w:rPr>
          <w:rFonts w:eastAsia="Times New Roman"/>
          <w:noProof/>
          <w:lang w:val="fr-FR" w:eastAsia="en-GB"/>
        </w:rPr>
        <w:t>24</w:t>
      </w:r>
      <w:r w:rsidRPr="004560CD">
        <w:rPr>
          <w:rFonts w:eastAsia="Times New Roman"/>
          <w:lang w:val="fr-FR" w:eastAsia="en-GB"/>
        </w:rPr>
        <w:fldChar w:fldCharType="end"/>
      </w:r>
      <w:r w:rsidRPr="004560CD">
        <w:rPr>
          <w:rFonts w:eastAsia="Times New Roman"/>
          <w:lang w:val="fr-FR" w:eastAsia="en-GB"/>
        </w:rPr>
        <w:t>.  La Convention de La Haye du 23 novembre 2007 sur le recouvrement international des aliments destinés aux enfants et à d</w:t>
      </w:r>
      <w:r w:rsidR="004560CD" w:rsidRPr="004560CD">
        <w:rPr>
          <w:rFonts w:eastAsia="Times New Roman"/>
          <w:lang w:val="fr-FR" w:eastAsia="en-GB"/>
        </w:rPr>
        <w:t>’</w:t>
      </w:r>
      <w:r w:rsidRPr="004560CD">
        <w:rPr>
          <w:rFonts w:eastAsia="Times New Roman"/>
          <w:lang w:val="fr-FR" w:eastAsia="en-GB"/>
        </w:rPr>
        <w:t xml:space="preserve">autres membres de la famille </w:t>
      </w:r>
      <w:r w:rsidR="009D1C5C" w:rsidRPr="004560CD">
        <w:rPr>
          <w:rFonts w:eastAsia="Calibri"/>
          <w:lang w:val="fr-FR"/>
        </w:rPr>
        <w:t>établit un système de coopération administrative entre les autorités des Etats contractants et un régime de reconnaissance et d</w:t>
      </w:r>
      <w:r w:rsidR="004560CD" w:rsidRPr="004560CD">
        <w:rPr>
          <w:rFonts w:eastAsia="Calibri"/>
          <w:lang w:val="fr-FR"/>
        </w:rPr>
        <w:t>’</w:t>
      </w:r>
      <w:r w:rsidR="009D1C5C" w:rsidRPr="004560CD">
        <w:rPr>
          <w:rFonts w:eastAsia="Calibri"/>
          <w:lang w:val="fr-FR"/>
        </w:rPr>
        <w:t>exécution des décisions et des accords en matière d</w:t>
      </w:r>
      <w:r w:rsidR="004560CD" w:rsidRPr="004560CD">
        <w:rPr>
          <w:rFonts w:eastAsia="Calibri"/>
          <w:lang w:val="fr-FR"/>
        </w:rPr>
        <w:t>’</w:t>
      </w:r>
      <w:r w:rsidR="009D1C5C" w:rsidRPr="004560CD">
        <w:rPr>
          <w:rFonts w:eastAsia="Calibri"/>
          <w:lang w:val="fr-FR"/>
        </w:rPr>
        <w:t>obligations alimentaires.</w:t>
      </w:r>
    </w:p>
    <w:p w:rsidR="005A16EE" w:rsidRPr="004560CD" w:rsidRDefault="005A16EE" w:rsidP="004560CD">
      <w:pPr>
        <w:pStyle w:val="ECHRPara"/>
        <w:rPr>
          <w:rFonts w:eastAsia="Times New Roman"/>
          <w:lang w:val="fr-FR" w:eastAsia="en-GB"/>
        </w:rPr>
      </w:pPr>
      <w:r w:rsidRPr="004560CD">
        <w:rPr>
          <w:rFonts w:eastAsia="Times New Roman"/>
          <w:lang w:val="fr-FR" w:eastAsia="en-GB"/>
        </w:rPr>
        <w:fldChar w:fldCharType="begin"/>
      </w:r>
      <w:r w:rsidRPr="004560CD">
        <w:rPr>
          <w:rFonts w:eastAsia="Times New Roman"/>
          <w:lang w:val="fr-FR" w:eastAsia="en-GB"/>
        </w:rPr>
        <w:instrText xml:space="preserve"> SEQ level0 \*arabic </w:instrText>
      </w:r>
      <w:r w:rsidRPr="004560CD">
        <w:rPr>
          <w:rFonts w:eastAsia="Times New Roman"/>
          <w:lang w:val="fr-FR" w:eastAsia="en-GB"/>
        </w:rPr>
        <w:fldChar w:fldCharType="separate"/>
      </w:r>
      <w:r w:rsidR="00FD759F">
        <w:rPr>
          <w:rFonts w:eastAsia="Times New Roman"/>
          <w:noProof/>
          <w:lang w:val="fr-FR" w:eastAsia="en-GB"/>
        </w:rPr>
        <w:t>25</w:t>
      </w:r>
      <w:r w:rsidRPr="004560CD">
        <w:rPr>
          <w:rFonts w:eastAsia="Times New Roman"/>
          <w:lang w:val="fr-FR" w:eastAsia="en-GB"/>
        </w:rPr>
        <w:fldChar w:fldCharType="end"/>
      </w:r>
      <w:r w:rsidR="009D1C5C" w:rsidRPr="004560CD">
        <w:rPr>
          <w:rFonts w:eastAsia="Times New Roman"/>
          <w:lang w:val="fr-FR" w:eastAsia="en-GB"/>
        </w:rPr>
        <w:t>.  </w:t>
      </w:r>
      <w:r w:rsidRPr="004560CD">
        <w:rPr>
          <w:rFonts w:eastAsia="Times New Roman"/>
          <w:lang w:val="fr-FR" w:eastAsia="en-GB"/>
        </w:rPr>
        <w:t>La Convention de New York sur le recouvrement des aliments à l</w:t>
      </w:r>
      <w:r w:rsidR="004560CD" w:rsidRPr="004560CD">
        <w:rPr>
          <w:rFonts w:eastAsia="Times New Roman"/>
          <w:lang w:val="fr-FR" w:eastAsia="en-GB"/>
        </w:rPr>
        <w:t>’</w:t>
      </w:r>
      <w:r w:rsidRPr="004560CD">
        <w:rPr>
          <w:rFonts w:eastAsia="Times New Roman"/>
          <w:lang w:val="fr-FR" w:eastAsia="en-GB"/>
        </w:rPr>
        <w:t>étranger fut adoptée et ouverte à la signature le 20 juin 1956 par la Conférence des Nations Unies sur les obligations alimentaires convoquée en vertu de la résolution 572 (XIX) du Conseil économique et social des Nations Unies, adoptée le 17 mai 1955.</w:t>
      </w:r>
    </w:p>
    <w:p w:rsidR="005A16EE" w:rsidRPr="004560CD" w:rsidRDefault="005A16EE" w:rsidP="004560CD">
      <w:pPr>
        <w:pStyle w:val="ECHRTitle1"/>
        <w:rPr>
          <w:rFonts w:eastAsia="Times New Roman"/>
          <w:lang w:val="fr-FR" w:eastAsia="fr-FR"/>
        </w:rPr>
      </w:pPr>
      <w:r w:rsidRPr="004560CD">
        <w:rPr>
          <w:rFonts w:eastAsia="Times New Roman"/>
          <w:lang w:val="fr-FR" w:eastAsia="fr-FR"/>
        </w:rPr>
        <w:t>EN DROIT</w:t>
      </w:r>
    </w:p>
    <w:p w:rsidR="005A16EE" w:rsidRPr="004560CD" w:rsidRDefault="005A16EE" w:rsidP="004560CD">
      <w:pPr>
        <w:pStyle w:val="ECHRHeading1"/>
        <w:rPr>
          <w:rFonts w:eastAsia="Times New Roman"/>
          <w:lang w:val="fr-FR" w:eastAsia="fr-FR"/>
        </w:rPr>
      </w:pPr>
      <w:r w:rsidRPr="004560CD">
        <w:rPr>
          <w:rFonts w:eastAsia="Times New Roman"/>
          <w:lang w:val="fr-FR" w:eastAsia="fr-FR"/>
        </w:rPr>
        <w:t>I.  SUR LA VIOLATION ALLÉGUÉE DE L</w:t>
      </w:r>
      <w:r w:rsidR="004560CD" w:rsidRPr="004560CD">
        <w:rPr>
          <w:rFonts w:eastAsia="Times New Roman"/>
          <w:lang w:val="fr-FR" w:eastAsia="fr-FR"/>
        </w:rPr>
        <w:t>’</w:t>
      </w:r>
      <w:r w:rsidRPr="004560CD">
        <w:rPr>
          <w:rFonts w:eastAsia="Times New Roman"/>
          <w:lang w:val="fr-FR" w:eastAsia="fr-FR"/>
        </w:rPr>
        <w:t>ARTICLE</w:t>
      </w:r>
      <w:r w:rsidR="0064410C" w:rsidRPr="004560CD">
        <w:rPr>
          <w:rFonts w:eastAsia="Times New Roman"/>
          <w:lang w:val="fr-FR" w:eastAsia="fr-FR"/>
        </w:rPr>
        <w:t xml:space="preserve"> </w:t>
      </w:r>
      <w:r w:rsidRPr="004560CD">
        <w:rPr>
          <w:rFonts w:eastAsia="Times New Roman"/>
          <w:lang w:val="fr-FR" w:eastAsia="fr-FR"/>
        </w:rPr>
        <w:t>2 DU PROTOCOLE N</w:t>
      </w:r>
      <w:r w:rsidRPr="004560CD">
        <w:rPr>
          <w:rFonts w:eastAsia="Times New Roman"/>
          <w:vertAlign w:val="superscript"/>
          <w:lang w:val="fr-FR" w:eastAsia="fr-FR"/>
        </w:rPr>
        <w:t>o</w:t>
      </w:r>
      <w:r w:rsidR="0064410C" w:rsidRPr="004560CD">
        <w:rPr>
          <w:rFonts w:eastAsia="Times New Roman"/>
          <w:vertAlign w:val="superscript"/>
          <w:lang w:val="fr-FR" w:eastAsia="fr-FR"/>
        </w:rPr>
        <w:t xml:space="preserve"> </w:t>
      </w:r>
      <w:r w:rsidRPr="004560CD">
        <w:rPr>
          <w:rFonts w:eastAsia="Times New Roman"/>
          <w:lang w:val="fr-FR" w:eastAsia="fr-FR"/>
        </w:rPr>
        <w:t>4 À LA CONVENTION</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26</w:t>
      </w:r>
      <w:r w:rsidRPr="004560CD">
        <w:rPr>
          <w:rFonts w:eastAsia="Times New Roman"/>
          <w:lang w:val="fr-FR" w:eastAsia="fr-FR"/>
        </w:rPr>
        <w:fldChar w:fldCharType="end"/>
      </w:r>
      <w:r w:rsidRPr="004560CD">
        <w:rPr>
          <w:rFonts w:eastAsia="Times New Roman"/>
          <w:lang w:val="fr-FR" w:eastAsia="fr-FR"/>
        </w:rPr>
        <w:t>.  Le requérant se plaint d</w:t>
      </w:r>
      <w:r w:rsidR="004560CD" w:rsidRPr="004560CD">
        <w:rPr>
          <w:rFonts w:eastAsia="Times New Roman"/>
          <w:lang w:val="fr-FR" w:eastAsia="fr-FR"/>
        </w:rPr>
        <w:t>’</w:t>
      </w:r>
      <w:r w:rsidRPr="004560CD">
        <w:rPr>
          <w:rFonts w:eastAsia="Times New Roman"/>
          <w:lang w:val="fr-FR" w:eastAsia="fr-FR"/>
        </w:rPr>
        <w:t>une atteinte à sa vie privée et à sa liberté de circulation. En particulier, il expose qu</w:t>
      </w:r>
      <w:r w:rsidR="004560CD" w:rsidRPr="004560CD">
        <w:rPr>
          <w:rFonts w:eastAsia="Times New Roman"/>
          <w:lang w:val="fr-FR" w:eastAsia="fr-FR"/>
        </w:rPr>
        <w:t>’</w:t>
      </w:r>
      <w:r w:rsidRPr="004560CD">
        <w:rPr>
          <w:rFonts w:eastAsia="Times New Roman"/>
          <w:lang w:val="fr-FR" w:eastAsia="fr-FR"/>
        </w:rPr>
        <w:t>aucune norme n</w:t>
      </w:r>
      <w:r w:rsidR="004560CD" w:rsidRPr="004560CD">
        <w:rPr>
          <w:rFonts w:eastAsia="Times New Roman"/>
          <w:lang w:val="fr-FR" w:eastAsia="fr-FR"/>
        </w:rPr>
        <w:t>’</w:t>
      </w:r>
      <w:r w:rsidRPr="004560CD">
        <w:rPr>
          <w:rFonts w:eastAsia="Times New Roman"/>
          <w:lang w:val="fr-FR" w:eastAsia="fr-FR"/>
        </w:rPr>
        <w:t>interdit à un parent qui ne payerait pas sa pension alimentaire d</w:t>
      </w:r>
      <w:r w:rsidR="004560CD" w:rsidRPr="004560CD">
        <w:rPr>
          <w:rFonts w:eastAsia="Times New Roman"/>
          <w:lang w:val="fr-FR" w:eastAsia="fr-FR"/>
        </w:rPr>
        <w:t>’</w:t>
      </w:r>
      <w:r w:rsidRPr="004560CD">
        <w:rPr>
          <w:rFonts w:eastAsia="Times New Roman"/>
          <w:lang w:val="fr-FR" w:eastAsia="fr-FR"/>
        </w:rPr>
        <w:t>avoir un passeport et d</w:t>
      </w:r>
      <w:r w:rsidR="004560CD" w:rsidRPr="004560CD">
        <w:rPr>
          <w:rFonts w:eastAsia="Times New Roman"/>
          <w:lang w:val="fr-FR" w:eastAsia="fr-FR"/>
        </w:rPr>
        <w:t>’</w:t>
      </w:r>
      <w:r w:rsidRPr="004560CD">
        <w:rPr>
          <w:rFonts w:eastAsia="Times New Roman"/>
          <w:lang w:val="fr-FR" w:eastAsia="fr-FR"/>
        </w:rPr>
        <w:t>y faire inscrire le nom de ses enfants.</w:t>
      </w:r>
    </w:p>
    <w:p w:rsidR="005A16EE" w:rsidRPr="004560CD" w:rsidRDefault="005A16EE" w:rsidP="004560CD">
      <w:pPr>
        <w:pStyle w:val="ECHRPara"/>
        <w:rPr>
          <w:rFonts w:eastAsia="Times New Roman"/>
          <w:lang w:val="fr-FR" w:eastAsia="fr-FR"/>
        </w:rPr>
      </w:pPr>
      <w:r w:rsidRPr="004560CD">
        <w:rPr>
          <w:rFonts w:eastAsia="Times New Roman"/>
          <w:lang w:val="fr-FR" w:eastAsia="fr-FR"/>
        </w:rPr>
        <w:t>Il invoque l</w:t>
      </w:r>
      <w:r w:rsidR="004560CD" w:rsidRPr="004560CD">
        <w:rPr>
          <w:rFonts w:eastAsia="Times New Roman"/>
          <w:lang w:val="fr-FR" w:eastAsia="fr-FR"/>
        </w:rPr>
        <w:t>’</w:t>
      </w:r>
      <w:r w:rsidRPr="004560CD">
        <w:rPr>
          <w:rFonts w:eastAsia="Times New Roman"/>
          <w:lang w:val="fr-FR" w:eastAsia="fr-FR"/>
        </w:rPr>
        <w:t>article 2 du Protocole n</w:t>
      </w:r>
      <w:r w:rsidRPr="004560CD">
        <w:rPr>
          <w:rFonts w:eastAsia="Times New Roman"/>
          <w:vertAlign w:val="superscript"/>
          <w:lang w:val="fr-FR" w:eastAsia="fr-FR"/>
        </w:rPr>
        <w:t>o </w:t>
      </w:r>
      <w:r w:rsidRPr="004560CD">
        <w:rPr>
          <w:rFonts w:eastAsia="Times New Roman"/>
          <w:lang w:val="fr-FR" w:eastAsia="fr-FR"/>
        </w:rPr>
        <w:t>4 à la Convention, ainsi libellé :</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 1.  Quiconque se trouve régulièrement sur le territoire d</w:t>
      </w:r>
      <w:r w:rsidR="004560CD" w:rsidRPr="004560CD">
        <w:rPr>
          <w:rFonts w:eastAsia="Times New Roman"/>
          <w:lang w:val="fr-FR" w:eastAsia="fr-FR"/>
        </w:rPr>
        <w:t>’</w:t>
      </w:r>
      <w:r w:rsidRPr="004560CD">
        <w:rPr>
          <w:rFonts w:eastAsia="Times New Roman"/>
          <w:lang w:val="fr-FR" w:eastAsia="fr-FR"/>
        </w:rPr>
        <w:t>un État a le droit d</w:t>
      </w:r>
      <w:r w:rsidR="004560CD" w:rsidRPr="004560CD">
        <w:rPr>
          <w:rFonts w:eastAsia="Times New Roman"/>
          <w:lang w:val="fr-FR" w:eastAsia="fr-FR"/>
        </w:rPr>
        <w:t>’</w:t>
      </w:r>
      <w:r w:rsidRPr="004560CD">
        <w:rPr>
          <w:rFonts w:eastAsia="Times New Roman"/>
          <w:lang w:val="fr-FR" w:eastAsia="fr-FR"/>
        </w:rPr>
        <w:t>y circuler librement et d</w:t>
      </w:r>
      <w:r w:rsidR="004560CD" w:rsidRPr="004560CD">
        <w:rPr>
          <w:rFonts w:eastAsia="Times New Roman"/>
          <w:lang w:val="fr-FR" w:eastAsia="fr-FR"/>
        </w:rPr>
        <w:t>’</w:t>
      </w:r>
      <w:r w:rsidRPr="004560CD">
        <w:rPr>
          <w:rFonts w:eastAsia="Times New Roman"/>
          <w:lang w:val="fr-FR" w:eastAsia="fr-FR"/>
        </w:rPr>
        <w:t>y choisir librement sa résidence.</w:t>
      </w:r>
    </w:p>
    <w:p w:rsidR="00FF0B1F" w:rsidRPr="004560CD" w:rsidRDefault="005A16EE" w:rsidP="004560CD">
      <w:pPr>
        <w:pStyle w:val="ECHRParaQuote"/>
        <w:rPr>
          <w:rFonts w:eastAsia="Times New Roman"/>
          <w:lang w:val="fr-FR" w:eastAsia="fr-FR"/>
        </w:rPr>
      </w:pPr>
      <w:r w:rsidRPr="004560CD">
        <w:rPr>
          <w:rFonts w:eastAsia="Times New Roman"/>
          <w:lang w:val="fr-FR" w:eastAsia="fr-FR"/>
        </w:rPr>
        <w:t>2.  Toute personne est libre de quitter n</w:t>
      </w:r>
      <w:r w:rsidR="004560CD" w:rsidRPr="004560CD">
        <w:rPr>
          <w:rFonts w:eastAsia="Times New Roman"/>
          <w:lang w:val="fr-FR" w:eastAsia="fr-FR"/>
        </w:rPr>
        <w:t>’</w:t>
      </w:r>
      <w:r w:rsidRPr="004560CD">
        <w:rPr>
          <w:rFonts w:eastAsia="Times New Roman"/>
          <w:lang w:val="fr-FR" w:eastAsia="fr-FR"/>
        </w:rPr>
        <w:t>importe quel pays, y compris le sien.</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3.  L</w:t>
      </w:r>
      <w:r w:rsidR="004560CD" w:rsidRPr="004560CD">
        <w:rPr>
          <w:rFonts w:eastAsia="Times New Roman"/>
          <w:lang w:val="fr-FR" w:eastAsia="fr-FR"/>
        </w:rPr>
        <w:t>’</w:t>
      </w:r>
      <w:r w:rsidRPr="004560CD">
        <w:rPr>
          <w:rFonts w:eastAsia="Times New Roman"/>
          <w:lang w:val="fr-FR" w:eastAsia="fr-FR"/>
        </w:rPr>
        <w:t>exercice de ces droits ne peut faire l</w:t>
      </w:r>
      <w:r w:rsidR="004560CD" w:rsidRPr="004560CD">
        <w:rPr>
          <w:rFonts w:eastAsia="Times New Roman"/>
          <w:lang w:val="fr-FR" w:eastAsia="fr-FR"/>
        </w:rPr>
        <w:t>’</w:t>
      </w:r>
      <w:r w:rsidRPr="004560CD">
        <w:rPr>
          <w:rFonts w:eastAsia="Times New Roman"/>
          <w:lang w:val="fr-FR" w:eastAsia="fr-FR"/>
        </w:rPr>
        <w:t>objet d</w:t>
      </w:r>
      <w:r w:rsidR="004560CD" w:rsidRPr="004560CD">
        <w:rPr>
          <w:rFonts w:eastAsia="Times New Roman"/>
          <w:lang w:val="fr-FR" w:eastAsia="fr-FR"/>
        </w:rPr>
        <w:t>’</w:t>
      </w:r>
      <w:r w:rsidRPr="004560CD">
        <w:rPr>
          <w:rFonts w:eastAsia="Times New Roman"/>
          <w:lang w:val="fr-FR" w:eastAsia="fr-FR"/>
        </w:rPr>
        <w:t>autres restrictions que celles qui, prévues par la loi, constituent des mesures nécessaires, dans une société démocratique, à la sécurité nationale, à la sûreté publique, au maintien de l</w:t>
      </w:r>
      <w:r w:rsidR="004560CD" w:rsidRPr="004560CD">
        <w:rPr>
          <w:rFonts w:eastAsia="Times New Roman"/>
          <w:lang w:val="fr-FR" w:eastAsia="fr-FR"/>
        </w:rPr>
        <w:t>’</w:t>
      </w:r>
      <w:r w:rsidRPr="004560CD">
        <w:rPr>
          <w:rFonts w:eastAsia="Times New Roman"/>
          <w:lang w:val="fr-FR" w:eastAsia="fr-FR"/>
        </w:rPr>
        <w:t>ordre public, à la prévention des infractions pénales, à la protection de la santé ou de la morale, ou à la protection des droits et libertés d</w:t>
      </w:r>
      <w:r w:rsidR="004560CD" w:rsidRPr="004560CD">
        <w:rPr>
          <w:rFonts w:eastAsia="Times New Roman"/>
          <w:lang w:val="fr-FR" w:eastAsia="fr-FR"/>
        </w:rPr>
        <w:t>’</w:t>
      </w:r>
      <w:r w:rsidRPr="004560CD">
        <w:rPr>
          <w:rFonts w:eastAsia="Times New Roman"/>
          <w:lang w:val="fr-FR" w:eastAsia="fr-FR"/>
        </w:rPr>
        <w:t>autrui.</w:t>
      </w:r>
    </w:p>
    <w:p w:rsidR="005A16EE" w:rsidRPr="004560CD" w:rsidRDefault="005A16EE" w:rsidP="004560CD">
      <w:pPr>
        <w:pStyle w:val="ECHRParaQuote"/>
        <w:rPr>
          <w:rFonts w:eastAsia="Times New Roman"/>
          <w:lang w:val="fr-FR" w:eastAsia="fr-FR"/>
        </w:rPr>
      </w:pPr>
      <w:r w:rsidRPr="004560CD">
        <w:rPr>
          <w:rFonts w:eastAsia="Times New Roman"/>
          <w:lang w:val="fr-FR" w:eastAsia="fr-FR"/>
        </w:rPr>
        <w:t>4.  Les droits reconnus au paragraphe 1 peuvent également, dans certaines zones déterminées, faire l</w:t>
      </w:r>
      <w:r w:rsidR="004560CD" w:rsidRPr="004560CD">
        <w:rPr>
          <w:rFonts w:eastAsia="Times New Roman"/>
          <w:lang w:val="fr-FR" w:eastAsia="fr-FR"/>
        </w:rPr>
        <w:t>’</w:t>
      </w:r>
      <w:r w:rsidRPr="004560CD">
        <w:rPr>
          <w:rFonts w:eastAsia="Times New Roman"/>
          <w:lang w:val="fr-FR" w:eastAsia="fr-FR"/>
        </w:rPr>
        <w:t>objet de restrictions qui, prévues par la loi, sont justifiées par l</w:t>
      </w:r>
      <w:r w:rsidR="004560CD" w:rsidRPr="004560CD">
        <w:rPr>
          <w:rFonts w:eastAsia="Times New Roman"/>
          <w:lang w:val="fr-FR" w:eastAsia="fr-FR"/>
        </w:rPr>
        <w:t>’</w:t>
      </w:r>
      <w:r w:rsidRPr="004560CD">
        <w:rPr>
          <w:rFonts w:eastAsia="Times New Roman"/>
          <w:lang w:val="fr-FR" w:eastAsia="fr-FR"/>
        </w:rPr>
        <w:t>intérêt public dans une société démocratique. »</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27</w:t>
      </w:r>
      <w:r w:rsidRPr="004560CD">
        <w:rPr>
          <w:rFonts w:eastAsia="Times New Roman"/>
          <w:lang w:val="fr-FR" w:eastAsia="fr-FR"/>
        </w:rPr>
        <w:fldChar w:fldCharType="end"/>
      </w:r>
      <w:r w:rsidRPr="004560CD">
        <w:rPr>
          <w:rFonts w:eastAsia="Times New Roman"/>
          <w:lang w:val="fr-FR" w:eastAsia="fr-FR"/>
        </w:rPr>
        <w:t>.  Le Gouvernement conteste la thèse du requérant.</w:t>
      </w:r>
    </w:p>
    <w:p w:rsidR="005A16EE" w:rsidRPr="004560CD" w:rsidRDefault="005A16EE" w:rsidP="004560CD">
      <w:pPr>
        <w:pStyle w:val="ECHRHeading2"/>
        <w:rPr>
          <w:rFonts w:eastAsia="Times New Roman"/>
          <w:lang w:val="fr-FR" w:eastAsia="fr-FR"/>
        </w:rPr>
      </w:pPr>
      <w:r w:rsidRPr="004560CD">
        <w:rPr>
          <w:rFonts w:eastAsia="Times New Roman"/>
          <w:lang w:val="fr-FR" w:eastAsia="fr-FR"/>
        </w:rPr>
        <w:t>A.  Sur la recevabilité</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28</w:t>
      </w:r>
      <w:r w:rsidRPr="004560CD">
        <w:rPr>
          <w:rFonts w:eastAsia="Times New Roman"/>
          <w:lang w:val="fr-FR" w:eastAsia="fr-FR"/>
        </w:rPr>
        <w:fldChar w:fldCharType="end"/>
      </w:r>
      <w:r w:rsidRPr="004560CD">
        <w:rPr>
          <w:rFonts w:eastAsia="Times New Roman"/>
          <w:lang w:val="fr-FR" w:eastAsia="fr-FR"/>
        </w:rPr>
        <w:t>.  La Cour constate que le présent grief n</w:t>
      </w:r>
      <w:r w:rsidR="004560CD" w:rsidRPr="004560CD">
        <w:rPr>
          <w:rFonts w:eastAsia="Times New Roman"/>
          <w:lang w:val="fr-FR" w:eastAsia="fr-FR"/>
        </w:rPr>
        <w:t>’</w:t>
      </w:r>
      <w:r w:rsidRPr="004560CD">
        <w:rPr>
          <w:rFonts w:eastAsia="Times New Roman"/>
          <w:lang w:val="fr-FR" w:eastAsia="fr-FR"/>
        </w:rPr>
        <w:t>est pas manifestement mal fondé au sens de l</w:t>
      </w:r>
      <w:r w:rsidR="004560CD" w:rsidRPr="004560CD">
        <w:rPr>
          <w:rFonts w:eastAsia="Times New Roman"/>
          <w:lang w:val="fr-FR" w:eastAsia="fr-FR"/>
        </w:rPr>
        <w:t>’</w:t>
      </w:r>
      <w:r w:rsidRPr="004560CD">
        <w:rPr>
          <w:rFonts w:eastAsia="Times New Roman"/>
          <w:lang w:val="fr-FR" w:eastAsia="fr-FR"/>
        </w:rPr>
        <w:t>article 35 § 3 (a) de la Convention. Elle relève par ailleurs qu</w:t>
      </w:r>
      <w:r w:rsidR="004560CD" w:rsidRPr="004560CD">
        <w:rPr>
          <w:rFonts w:eastAsia="Times New Roman"/>
          <w:lang w:val="fr-FR" w:eastAsia="fr-FR"/>
        </w:rPr>
        <w:t>’</w:t>
      </w:r>
      <w:r w:rsidRPr="004560CD">
        <w:rPr>
          <w:rFonts w:eastAsia="Times New Roman"/>
          <w:lang w:val="fr-FR" w:eastAsia="fr-FR"/>
        </w:rPr>
        <w:t>il ne se heurte à aucun autre motif d</w:t>
      </w:r>
      <w:r w:rsidR="004560CD" w:rsidRPr="004560CD">
        <w:rPr>
          <w:rFonts w:eastAsia="Times New Roman"/>
          <w:lang w:val="fr-FR" w:eastAsia="fr-FR"/>
        </w:rPr>
        <w:t>’</w:t>
      </w:r>
      <w:r w:rsidRPr="004560CD">
        <w:rPr>
          <w:rFonts w:eastAsia="Times New Roman"/>
          <w:lang w:val="fr-FR" w:eastAsia="fr-FR"/>
        </w:rPr>
        <w:t>irrecevabilité. Il convient donc de le déclarer recevable.</w:t>
      </w:r>
    </w:p>
    <w:p w:rsidR="005A16EE" w:rsidRPr="004560CD" w:rsidRDefault="005A16EE" w:rsidP="004560CD">
      <w:pPr>
        <w:pStyle w:val="ECHRHeading2"/>
        <w:rPr>
          <w:rFonts w:eastAsia="Times New Roman"/>
          <w:lang w:val="fr-FR" w:eastAsia="fr-FR"/>
        </w:rPr>
      </w:pPr>
      <w:r w:rsidRPr="004560CD">
        <w:rPr>
          <w:rFonts w:eastAsia="Times New Roman"/>
          <w:lang w:val="fr-FR" w:eastAsia="fr-FR"/>
        </w:rPr>
        <w:t>B.  Sur le fond</w:t>
      </w:r>
    </w:p>
    <w:p w:rsidR="005A16EE" w:rsidRPr="004560CD" w:rsidRDefault="005A16EE" w:rsidP="004560CD">
      <w:pPr>
        <w:pStyle w:val="ECHRHeading3"/>
        <w:rPr>
          <w:rFonts w:eastAsia="Times New Roman"/>
          <w:lang w:val="fr-FR" w:eastAsia="fr-FR"/>
        </w:rPr>
      </w:pPr>
      <w:r w:rsidRPr="004560CD">
        <w:rPr>
          <w:rFonts w:eastAsia="Times New Roman"/>
          <w:lang w:val="fr-FR" w:eastAsia="fr-FR"/>
        </w:rPr>
        <w:t>1.  Thèses des parties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29</w:t>
      </w:r>
      <w:r w:rsidRPr="004560CD">
        <w:rPr>
          <w:rFonts w:eastAsia="Times New Roman"/>
          <w:lang w:val="fr-FR" w:eastAsia="fr-FR"/>
        </w:rPr>
        <w:fldChar w:fldCharType="end"/>
      </w:r>
      <w:r w:rsidRPr="004560CD">
        <w:rPr>
          <w:rFonts w:eastAsia="Times New Roman"/>
          <w:lang w:val="fr-FR" w:eastAsia="fr-FR"/>
        </w:rPr>
        <w:t>.  Le requérant affirme qu</w:t>
      </w:r>
      <w:r w:rsidR="004560CD" w:rsidRPr="004560CD">
        <w:rPr>
          <w:rFonts w:eastAsia="Times New Roman"/>
          <w:lang w:val="fr-FR" w:eastAsia="fr-FR"/>
        </w:rPr>
        <w:t>’</w:t>
      </w:r>
      <w:r w:rsidRPr="004560CD">
        <w:rPr>
          <w:rFonts w:eastAsia="Times New Roman"/>
          <w:lang w:val="fr-FR" w:eastAsia="fr-FR"/>
        </w:rPr>
        <w:t>il n</w:t>
      </w:r>
      <w:r w:rsidR="004560CD" w:rsidRPr="004560CD">
        <w:rPr>
          <w:rFonts w:eastAsia="Times New Roman"/>
          <w:lang w:val="fr-FR" w:eastAsia="fr-FR"/>
        </w:rPr>
        <w:t>’</w:t>
      </w:r>
      <w:r w:rsidRPr="004560CD">
        <w:rPr>
          <w:rFonts w:eastAsia="Times New Roman"/>
          <w:lang w:val="fr-FR" w:eastAsia="fr-FR"/>
        </w:rPr>
        <w:t>y a aucune base légale au refus des autorités de lui délivrer un passeport. En particulier, il fait valoir qu</w:t>
      </w:r>
      <w:r w:rsidR="004560CD" w:rsidRPr="004560CD">
        <w:rPr>
          <w:rFonts w:eastAsia="Times New Roman"/>
          <w:lang w:val="fr-FR" w:eastAsia="fr-FR"/>
        </w:rPr>
        <w:t>’</w:t>
      </w:r>
      <w:r w:rsidRPr="004560CD">
        <w:rPr>
          <w:rFonts w:eastAsia="Times New Roman"/>
          <w:lang w:val="fr-FR" w:eastAsia="fr-FR"/>
        </w:rPr>
        <w:t>il n</w:t>
      </w:r>
      <w:r w:rsidR="004560CD" w:rsidRPr="004560CD">
        <w:rPr>
          <w:rFonts w:eastAsia="Times New Roman"/>
          <w:lang w:val="fr-FR" w:eastAsia="fr-FR"/>
        </w:rPr>
        <w:t>’</w:t>
      </w:r>
      <w:r w:rsidRPr="004560CD">
        <w:rPr>
          <w:rFonts w:eastAsia="Times New Roman"/>
          <w:lang w:val="fr-FR" w:eastAsia="fr-FR"/>
        </w:rPr>
        <w:t>a jamais été condamné pour violation des obligations d</w:t>
      </w:r>
      <w:r w:rsidR="004560CD" w:rsidRPr="004560CD">
        <w:rPr>
          <w:rFonts w:eastAsia="Times New Roman"/>
          <w:lang w:val="fr-FR" w:eastAsia="fr-FR"/>
        </w:rPr>
        <w:t>’</w:t>
      </w:r>
      <w:r w:rsidRPr="004560CD">
        <w:rPr>
          <w:rFonts w:eastAsia="Times New Roman"/>
          <w:lang w:val="fr-FR" w:eastAsia="fr-FR"/>
        </w:rPr>
        <w:t>assistance familiale (</w:t>
      </w:r>
      <w:r w:rsidRPr="004560CD">
        <w:rPr>
          <w:rFonts w:eastAsia="Times New Roman"/>
          <w:i/>
          <w:iCs/>
          <w:lang w:val="fr-FR" w:eastAsia="fr-FR"/>
        </w:rPr>
        <w:t>violazione degli obblighi di assistenza familiare</w:t>
      </w:r>
      <w:r w:rsidRPr="004560CD">
        <w:rPr>
          <w:rFonts w:eastAsia="Times New Roman"/>
          <w:lang w:val="fr-FR" w:eastAsia="fr-FR"/>
        </w:rPr>
        <w:t>, infraction punie par l</w:t>
      </w:r>
      <w:bookmarkStart w:id="1" w:name="HIT1"/>
      <w:bookmarkEnd w:id="1"/>
      <w:r w:rsidR="004560CD" w:rsidRPr="004560CD">
        <w:rPr>
          <w:rFonts w:eastAsia="Times New Roman"/>
          <w:lang w:val="fr-FR" w:eastAsia="fr-FR"/>
        </w:rPr>
        <w:t>’</w:t>
      </w:r>
      <w:r w:rsidRPr="004560CD">
        <w:rPr>
          <w:rFonts w:eastAsia="Times New Roman"/>
          <w:bCs/>
          <w:lang w:val="fr-FR" w:eastAsia="fr-FR"/>
        </w:rPr>
        <w:t>article</w:t>
      </w:r>
      <w:r w:rsidRPr="004560CD">
        <w:rPr>
          <w:rFonts w:eastAsia="Times New Roman"/>
          <w:lang w:val="fr-FR" w:eastAsia="fr-FR"/>
        </w:rPr>
        <w:t> </w:t>
      </w:r>
      <w:r w:rsidRPr="004560CD">
        <w:rPr>
          <w:rFonts w:eastAsia="Times New Roman"/>
          <w:bCs/>
          <w:lang w:val="fr-FR" w:eastAsia="fr-FR"/>
        </w:rPr>
        <w:t>570</w:t>
      </w:r>
      <w:r w:rsidRPr="004560CD">
        <w:rPr>
          <w:rFonts w:eastAsia="Times New Roman"/>
          <w:lang w:val="fr-FR" w:eastAsia="fr-FR"/>
        </w:rPr>
        <w:t xml:space="preserve"> du code pénal) et qu</w:t>
      </w:r>
      <w:r w:rsidR="004560CD" w:rsidRPr="004560CD">
        <w:rPr>
          <w:rFonts w:eastAsia="Times New Roman"/>
          <w:lang w:val="fr-FR" w:eastAsia="fr-FR"/>
        </w:rPr>
        <w:t>’</w:t>
      </w:r>
      <w:r w:rsidRPr="004560CD">
        <w:rPr>
          <w:rFonts w:eastAsia="Times New Roman"/>
          <w:lang w:val="fr-FR" w:eastAsia="fr-FR"/>
        </w:rPr>
        <w:t>aucune juridiction ne l</w:t>
      </w:r>
      <w:r w:rsidR="004560CD" w:rsidRPr="004560CD">
        <w:rPr>
          <w:rFonts w:eastAsia="Times New Roman"/>
          <w:lang w:val="fr-FR" w:eastAsia="fr-FR"/>
        </w:rPr>
        <w:t>’</w:t>
      </w:r>
      <w:r w:rsidRPr="004560CD">
        <w:rPr>
          <w:rFonts w:eastAsia="Times New Roman"/>
          <w:lang w:val="fr-FR" w:eastAsia="fr-FR"/>
        </w:rPr>
        <w:t>a condamné pour non-paiement de la pension alimentaire. De plus, il affirme que son casier judiciaire est vierge.</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30</w:t>
      </w:r>
      <w:r w:rsidRPr="004560CD">
        <w:rPr>
          <w:rFonts w:eastAsia="Times New Roman"/>
          <w:lang w:val="fr-FR" w:eastAsia="fr-FR"/>
        </w:rPr>
        <w:fldChar w:fldCharType="end"/>
      </w:r>
      <w:r w:rsidRPr="004560CD">
        <w:rPr>
          <w:rFonts w:eastAsia="Times New Roman"/>
          <w:lang w:val="fr-FR" w:eastAsia="fr-FR"/>
        </w:rPr>
        <w:t>.  Le Gouvernement rappelle que l</w:t>
      </w:r>
      <w:r w:rsidR="004560CD" w:rsidRPr="004560CD">
        <w:rPr>
          <w:rFonts w:eastAsia="Times New Roman"/>
          <w:lang w:val="fr-FR" w:eastAsia="fr-FR"/>
        </w:rPr>
        <w:t>’</w:t>
      </w:r>
      <w:r w:rsidRPr="004560CD">
        <w:rPr>
          <w:rFonts w:eastAsia="Times New Roman"/>
          <w:lang w:val="fr-FR" w:eastAsia="fr-FR"/>
        </w:rPr>
        <w:t>article 16 de la Constitution prévoit que la liberté du citoyen de sortir du territoire de la République est subordonnée à l</w:t>
      </w:r>
      <w:r w:rsidR="004560CD" w:rsidRPr="004560CD">
        <w:rPr>
          <w:rFonts w:eastAsia="Times New Roman"/>
          <w:lang w:val="fr-FR" w:eastAsia="fr-FR"/>
        </w:rPr>
        <w:t>’</w:t>
      </w:r>
      <w:r w:rsidRPr="004560CD">
        <w:rPr>
          <w:rFonts w:eastAsia="Times New Roman"/>
          <w:lang w:val="fr-FR" w:eastAsia="fr-FR"/>
        </w:rPr>
        <w:t>observance des obligations prévues par la loi.</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31</w:t>
      </w:r>
      <w:r w:rsidRPr="004560CD">
        <w:rPr>
          <w:rFonts w:eastAsia="Times New Roman"/>
          <w:lang w:val="fr-FR" w:eastAsia="fr-FR"/>
        </w:rPr>
        <w:fldChar w:fldCharType="end"/>
      </w:r>
      <w:r w:rsidRPr="004560CD">
        <w:rPr>
          <w:rFonts w:eastAsia="Times New Roman"/>
          <w:lang w:val="fr-FR" w:eastAsia="fr-FR"/>
        </w:rPr>
        <w:t>.  Il note ensuite que l</w:t>
      </w:r>
      <w:r w:rsidR="004560CD" w:rsidRPr="004560CD">
        <w:rPr>
          <w:rFonts w:eastAsia="Times New Roman"/>
          <w:lang w:val="fr-FR" w:eastAsia="fr-FR"/>
        </w:rPr>
        <w:t>’</w:t>
      </w:r>
      <w:r w:rsidRPr="004560CD">
        <w:rPr>
          <w:rFonts w:eastAsia="Times New Roman"/>
          <w:lang w:val="fr-FR" w:eastAsia="fr-FR"/>
        </w:rPr>
        <w:t>ingérence dans le droit du requérant est expressément prévue par loi, à savoir l</w:t>
      </w:r>
      <w:r w:rsidR="004560CD" w:rsidRPr="004560CD">
        <w:rPr>
          <w:rFonts w:eastAsia="Times New Roman"/>
          <w:lang w:val="fr-FR" w:eastAsia="fr-FR"/>
        </w:rPr>
        <w:t>’</w:t>
      </w:r>
      <w:r w:rsidRPr="004560CD">
        <w:rPr>
          <w:rFonts w:eastAsia="Times New Roman"/>
          <w:lang w:val="fr-FR" w:eastAsia="fr-FR"/>
        </w:rPr>
        <w:t>article 3 a) et b) de la loi n</w:t>
      </w:r>
      <w:r w:rsidRPr="004560CD">
        <w:rPr>
          <w:rFonts w:eastAsia="Times New Roman"/>
          <w:vertAlign w:val="superscript"/>
          <w:lang w:val="fr-FR" w:eastAsia="fr-FR"/>
        </w:rPr>
        <w:t xml:space="preserve">o </w:t>
      </w:r>
      <w:r w:rsidRPr="004560CD">
        <w:rPr>
          <w:rFonts w:eastAsia="Times New Roman"/>
          <w:lang w:val="fr-FR" w:eastAsia="fr-FR"/>
        </w:rPr>
        <w:t>1185 de 1967, et explique qu</w:t>
      </w:r>
      <w:r w:rsidR="004560CD" w:rsidRPr="004560CD">
        <w:rPr>
          <w:rFonts w:eastAsia="Times New Roman"/>
          <w:lang w:val="fr-FR" w:eastAsia="fr-FR"/>
        </w:rPr>
        <w:t>’</w:t>
      </w:r>
      <w:r w:rsidRPr="004560CD">
        <w:rPr>
          <w:rFonts w:eastAsia="Times New Roman"/>
          <w:lang w:val="fr-FR" w:eastAsia="fr-FR"/>
        </w:rPr>
        <w:t>elle a pour finalité la protection des enfants : il s</w:t>
      </w:r>
      <w:r w:rsidR="004560CD" w:rsidRPr="004560CD">
        <w:rPr>
          <w:rFonts w:eastAsia="Times New Roman"/>
          <w:lang w:val="fr-FR" w:eastAsia="fr-FR"/>
        </w:rPr>
        <w:t>’</w:t>
      </w:r>
      <w:r w:rsidRPr="004560CD">
        <w:rPr>
          <w:rFonts w:eastAsia="Times New Roman"/>
          <w:lang w:val="fr-FR" w:eastAsia="fr-FR"/>
        </w:rPr>
        <w:t>agit d</w:t>
      </w:r>
      <w:r w:rsidR="004560CD" w:rsidRPr="004560CD">
        <w:rPr>
          <w:rFonts w:eastAsia="Times New Roman"/>
          <w:lang w:val="fr-FR" w:eastAsia="fr-FR"/>
        </w:rPr>
        <w:t>’</w:t>
      </w:r>
      <w:r w:rsidRPr="004560CD">
        <w:rPr>
          <w:rFonts w:eastAsia="Times New Roman"/>
          <w:lang w:val="fr-FR" w:eastAsia="fr-FR"/>
        </w:rPr>
        <w:t>assurer que le requérant paye sa pension alimentaire et de prévenir la commission d</w:t>
      </w:r>
      <w:r w:rsidR="004560CD" w:rsidRPr="004560CD">
        <w:rPr>
          <w:rFonts w:eastAsia="Times New Roman"/>
          <w:lang w:val="fr-FR" w:eastAsia="fr-FR"/>
        </w:rPr>
        <w:t>’</w:t>
      </w:r>
      <w:r w:rsidRPr="004560CD">
        <w:rPr>
          <w:rFonts w:eastAsia="Times New Roman"/>
          <w:lang w:val="fr-FR" w:eastAsia="fr-FR"/>
        </w:rPr>
        <w:t>un délit. Aux yeux du Gouvernement, cette ingérence répond au critère de la « nécessité dans une société démocratique », spécialement à la lumière de la jurisprudence de la Cour en matière de dettes impayées.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32</w:t>
      </w:r>
      <w:r w:rsidRPr="004560CD">
        <w:rPr>
          <w:rFonts w:eastAsia="Times New Roman"/>
          <w:lang w:val="fr-FR" w:eastAsia="fr-FR"/>
        </w:rPr>
        <w:fldChar w:fldCharType="end"/>
      </w:r>
      <w:r w:rsidRPr="004560CD">
        <w:rPr>
          <w:rFonts w:eastAsia="Times New Roman"/>
          <w:lang w:val="fr-FR" w:eastAsia="fr-FR"/>
        </w:rPr>
        <w:t>.  À cet égard, le Gouvernement rappelle que le tribunal de Naples a décidé de transmettre sa décision du 22 octobre 2008 au procureur de la République pour vérifier si une information judiciaire pouvait être ouverte pour violation des obligations d</w:t>
      </w:r>
      <w:r w:rsidR="004560CD" w:rsidRPr="004560CD">
        <w:rPr>
          <w:rFonts w:eastAsia="Times New Roman"/>
          <w:lang w:val="fr-FR" w:eastAsia="fr-FR"/>
        </w:rPr>
        <w:t>’</w:t>
      </w:r>
      <w:r w:rsidRPr="004560CD">
        <w:rPr>
          <w:rFonts w:eastAsia="Times New Roman"/>
          <w:lang w:val="fr-FR" w:eastAsia="fr-FR"/>
        </w:rPr>
        <w:t>assistance familiale (</w:t>
      </w:r>
      <w:r w:rsidRPr="004560CD">
        <w:rPr>
          <w:rFonts w:eastAsia="Times New Roman"/>
          <w:i/>
          <w:iCs/>
          <w:lang w:val="fr-FR" w:eastAsia="fr-FR"/>
        </w:rPr>
        <w:t>violazione degli obblighi di assistenza familiare)</w:t>
      </w:r>
      <w:r w:rsidRPr="004560CD">
        <w:rPr>
          <w:rFonts w:eastAsia="Times New Roman"/>
          <w:lang w:val="fr-FR" w:eastAsia="fr-FR"/>
        </w:rPr>
        <w:t>, infraction punie par l</w:t>
      </w:r>
      <w:r w:rsidR="004560CD" w:rsidRPr="004560CD">
        <w:rPr>
          <w:rFonts w:eastAsia="Times New Roman"/>
          <w:lang w:val="fr-FR" w:eastAsia="fr-FR"/>
        </w:rPr>
        <w:t>’</w:t>
      </w:r>
      <w:r w:rsidRPr="004560CD">
        <w:rPr>
          <w:rFonts w:eastAsia="Times New Roman"/>
          <w:bCs/>
          <w:lang w:val="fr-FR" w:eastAsia="fr-FR"/>
        </w:rPr>
        <w:t>article</w:t>
      </w:r>
      <w:r w:rsidRPr="004560CD">
        <w:rPr>
          <w:rFonts w:eastAsia="Times New Roman"/>
          <w:lang w:val="fr-FR" w:eastAsia="fr-FR"/>
        </w:rPr>
        <w:t> </w:t>
      </w:r>
      <w:r w:rsidRPr="004560CD">
        <w:rPr>
          <w:rFonts w:eastAsia="Times New Roman"/>
          <w:bCs/>
          <w:lang w:val="fr-FR" w:eastAsia="fr-FR"/>
        </w:rPr>
        <w:t>570</w:t>
      </w:r>
      <w:r w:rsidRPr="004560CD">
        <w:rPr>
          <w:rFonts w:eastAsia="Times New Roman"/>
          <w:lang w:val="fr-FR" w:eastAsia="fr-FR"/>
        </w:rPr>
        <w:t xml:space="preserve"> du code pénal.</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33</w:t>
      </w:r>
      <w:r w:rsidRPr="004560CD">
        <w:rPr>
          <w:rFonts w:eastAsia="Times New Roman"/>
          <w:lang w:val="fr-FR" w:eastAsia="fr-FR"/>
        </w:rPr>
        <w:fldChar w:fldCharType="end"/>
      </w:r>
      <w:r w:rsidRPr="004560CD">
        <w:rPr>
          <w:rFonts w:eastAsia="Times New Roman"/>
          <w:lang w:val="fr-FR" w:eastAsia="fr-FR"/>
        </w:rPr>
        <w:t>.  Le Gouvernement note que la Cour constitutionnelle, dans son arrêt 0464 de 1997, a affirmé que l</w:t>
      </w:r>
      <w:r w:rsidR="004560CD" w:rsidRPr="004560CD">
        <w:rPr>
          <w:rFonts w:eastAsia="Times New Roman"/>
          <w:lang w:val="fr-FR" w:eastAsia="fr-FR"/>
        </w:rPr>
        <w:t>’</w:t>
      </w:r>
      <w:r w:rsidRPr="004560CD">
        <w:rPr>
          <w:rFonts w:eastAsia="Times New Roman"/>
          <w:lang w:val="fr-FR" w:eastAsia="fr-FR"/>
        </w:rPr>
        <w:t>essence de l</w:t>
      </w:r>
      <w:r w:rsidR="004560CD" w:rsidRPr="004560CD">
        <w:rPr>
          <w:rFonts w:eastAsia="Times New Roman"/>
          <w:lang w:val="fr-FR" w:eastAsia="fr-FR"/>
        </w:rPr>
        <w:t>’</w:t>
      </w:r>
      <w:r w:rsidRPr="004560CD">
        <w:rPr>
          <w:rFonts w:eastAsia="Times New Roman"/>
          <w:lang w:val="fr-FR" w:eastAsia="fr-FR"/>
        </w:rPr>
        <w:t>article en question de la loi n</w:t>
      </w:r>
      <w:r w:rsidRPr="004560CD">
        <w:rPr>
          <w:rFonts w:eastAsia="Times New Roman"/>
          <w:vertAlign w:val="superscript"/>
          <w:lang w:val="fr-FR" w:eastAsia="fr-FR"/>
        </w:rPr>
        <w:t>o </w:t>
      </w:r>
      <w:r w:rsidRPr="004560CD">
        <w:rPr>
          <w:rFonts w:eastAsia="Times New Roman"/>
          <w:lang w:val="fr-FR" w:eastAsia="fr-FR"/>
        </w:rPr>
        <w:t>1185 de 1967 est de « garantir que le parent remplisse ses obligations à l</w:t>
      </w:r>
      <w:r w:rsidR="004560CD" w:rsidRPr="004560CD">
        <w:rPr>
          <w:rFonts w:eastAsia="Times New Roman"/>
          <w:lang w:val="fr-FR" w:eastAsia="fr-FR"/>
        </w:rPr>
        <w:t>’</w:t>
      </w:r>
      <w:r w:rsidRPr="004560CD">
        <w:rPr>
          <w:rFonts w:eastAsia="Times New Roman"/>
          <w:lang w:val="fr-FR" w:eastAsia="fr-FR"/>
        </w:rPr>
        <w:t>égard de ses enfants ».</w:t>
      </w:r>
    </w:p>
    <w:p w:rsidR="005A16EE" w:rsidRPr="004560CD" w:rsidRDefault="005A16EE" w:rsidP="004560CD">
      <w:pPr>
        <w:pStyle w:val="ECHRPara"/>
        <w:rPr>
          <w:rFonts w:eastAsia="Times New Roman"/>
          <w:lang w:val="fr-FR" w:eastAsia="fr-FR"/>
        </w:rPr>
      </w:pPr>
      <w:r w:rsidRPr="004560CD">
        <w:rPr>
          <w:rFonts w:eastAsia="Times New Roman"/>
          <w:lang w:val="fr-FR" w:eastAsia="fr-FR"/>
        </w:rPr>
        <w:t>Il ajoute que, selon la jurisprudence de la Cour de cassation, la décision du juge des tutelles en la matière représente une mesure de « juridiction gracieuse » (c</w:t>
      </w:r>
      <w:r w:rsidR="004560CD" w:rsidRPr="004560CD">
        <w:rPr>
          <w:rFonts w:eastAsia="Times New Roman"/>
          <w:lang w:val="fr-FR" w:eastAsia="fr-FR"/>
        </w:rPr>
        <w:t>’</w:t>
      </w:r>
      <w:r w:rsidRPr="004560CD">
        <w:rPr>
          <w:rFonts w:eastAsia="Times New Roman"/>
          <w:lang w:val="fr-FR" w:eastAsia="fr-FR"/>
        </w:rPr>
        <w:t>est-à-dire, qui ne vise pas à régler de façon définitive un conflit entre les droits subjectifs des parents).</w:t>
      </w:r>
    </w:p>
    <w:p w:rsidR="005A16EE" w:rsidRPr="004560CD" w:rsidRDefault="005A16EE" w:rsidP="004560CD">
      <w:pPr>
        <w:pStyle w:val="ECHRPara"/>
        <w:rPr>
          <w:rFonts w:eastAsia="Times New Roman"/>
          <w:lang w:val="fr-FR" w:eastAsia="fr-FR"/>
        </w:rPr>
      </w:pPr>
      <w:r w:rsidRPr="004560CD">
        <w:rPr>
          <w:rFonts w:eastAsia="Times New Roman"/>
          <w:lang w:val="fr-FR" w:eastAsia="fr-FR"/>
        </w:rPr>
        <w:fldChar w:fldCharType="begin"/>
      </w:r>
      <w:r w:rsidRPr="004560CD">
        <w:rPr>
          <w:rFonts w:eastAsia="Times New Roman"/>
          <w:lang w:val="fr-FR" w:eastAsia="fr-FR"/>
        </w:rPr>
        <w:instrText xml:space="preserve"> SEQ level0 \*arabic </w:instrText>
      </w:r>
      <w:r w:rsidRPr="004560CD">
        <w:rPr>
          <w:rFonts w:eastAsia="Times New Roman"/>
          <w:lang w:val="fr-FR" w:eastAsia="fr-FR"/>
        </w:rPr>
        <w:fldChar w:fldCharType="separate"/>
      </w:r>
      <w:r w:rsidR="00FD759F">
        <w:rPr>
          <w:rFonts w:eastAsia="Times New Roman"/>
          <w:noProof/>
          <w:lang w:val="fr-FR" w:eastAsia="fr-FR"/>
        </w:rPr>
        <w:t>34</w:t>
      </w:r>
      <w:r w:rsidRPr="004560CD">
        <w:rPr>
          <w:rFonts w:eastAsia="Times New Roman"/>
          <w:lang w:val="fr-FR" w:eastAsia="fr-FR"/>
        </w:rPr>
        <w:fldChar w:fldCharType="end"/>
      </w:r>
      <w:r w:rsidRPr="004560CD">
        <w:rPr>
          <w:rFonts w:eastAsia="Times New Roman"/>
          <w:lang w:val="fr-FR" w:eastAsia="fr-FR"/>
        </w:rPr>
        <w:t>.  Le Gouvernement rappelle la jurisprudence de la Cour concernant les restrictions à la liberté de circulation dans des situations de procès pénaux en cours, de faillites ou encore de violations des obligations relatives au service militaire.</w:t>
      </w:r>
    </w:p>
    <w:p w:rsidR="005A16EE" w:rsidRPr="004560CD" w:rsidRDefault="009A1A78" w:rsidP="004560CD">
      <w:pPr>
        <w:pStyle w:val="ECHRHeading3"/>
        <w:rPr>
          <w:rFonts w:eastAsia="Times New Roman"/>
          <w:lang w:val="fr-FR" w:eastAsia="fr-FR"/>
        </w:rPr>
      </w:pPr>
      <w:r w:rsidRPr="004560CD">
        <w:rPr>
          <w:rFonts w:eastAsia="Times New Roman"/>
          <w:lang w:val="fr-FR" w:eastAsia="fr-FR"/>
        </w:rPr>
        <w:t>2.  </w:t>
      </w:r>
      <w:r w:rsidR="005A16EE" w:rsidRPr="004560CD">
        <w:rPr>
          <w:rFonts w:eastAsia="Times New Roman"/>
          <w:lang w:val="fr-FR" w:eastAsia="fr-FR"/>
        </w:rPr>
        <w:t>Appréciation de la Cour</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35</w:t>
      </w:r>
      <w:r w:rsidRPr="004560CD">
        <w:rPr>
          <w:noProof/>
          <w:lang w:val="fr-FR" w:eastAsia="fr-FR"/>
        </w:rPr>
        <w:fldChar w:fldCharType="end"/>
      </w:r>
      <w:r w:rsidRPr="004560CD">
        <w:rPr>
          <w:lang w:val="fr-FR" w:eastAsia="fr-FR"/>
        </w:rPr>
        <w:t>.</w:t>
      </w:r>
      <w:r w:rsidR="00B15456" w:rsidRPr="004560CD">
        <w:rPr>
          <w:rFonts w:eastAsia="Times New Roman"/>
          <w:lang w:val="fr-FR" w:eastAsia="fr-FR"/>
        </w:rPr>
        <w:t>  </w:t>
      </w:r>
      <w:r w:rsidRPr="004560CD">
        <w:rPr>
          <w:lang w:val="fr-FR" w:eastAsia="fr-FR"/>
        </w:rPr>
        <w:t>La Cour observe tout d</w:t>
      </w:r>
      <w:r w:rsidR="004560CD" w:rsidRPr="004560CD">
        <w:rPr>
          <w:lang w:val="fr-FR" w:eastAsia="fr-FR"/>
        </w:rPr>
        <w:t>’</w:t>
      </w:r>
      <w:r w:rsidRPr="004560CD">
        <w:rPr>
          <w:lang w:val="fr-FR" w:eastAsia="fr-FR"/>
        </w:rPr>
        <w:t>abord que la présente affaire soulève une question nouvelle, puisqu</w:t>
      </w:r>
      <w:r w:rsidR="004560CD" w:rsidRPr="004560CD">
        <w:rPr>
          <w:lang w:val="fr-FR" w:eastAsia="fr-FR"/>
        </w:rPr>
        <w:t>’</w:t>
      </w:r>
      <w:r w:rsidRPr="004560CD">
        <w:rPr>
          <w:lang w:val="fr-FR" w:eastAsia="fr-FR"/>
        </w:rPr>
        <w:t>elle n</w:t>
      </w:r>
      <w:r w:rsidR="004560CD" w:rsidRPr="004560CD">
        <w:rPr>
          <w:lang w:val="fr-FR" w:eastAsia="fr-FR"/>
        </w:rPr>
        <w:t>’</w:t>
      </w:r>
      <w:r w:rsidRPr="004560CD">
        <w:rPr>
          <w:lang w:val="fr-FR" w:eastAsia="fr-FR"/>
        </w:rPr>
        <w:t>a pas eu encore l</w:t>
      </w:r>
      <w:r w:rsidR="004560CD" w:rsidRPr="004560CD">
        <w:rPr>
          <w:lang w:val="fr-FR" w:eastAsia="fr-FR"/>
        </w:rPr>
        <w:t>’</w:t>
      </w:r>
      <w:r w:rsidRPr="004560CD">
        <w:rPr>
          <w:lang w:val="fr-FR" w:eastAsia="fr-FR"/>
        </w:rPr>
        <w:t>occasion de se pencher sur les mesures restreignant la liberté de quitter un pays en raison de l</w:t>
      </w:r>
      <w:r w:rsidR="004560CD" w:rsidRPr="004560CD">
        <w:rPr>
          <w:lang w:val="fr-FR" w:eastAsia="fr-FR"/>
        </w:rPr>
        <w:t>’</w:t>
      </w:r>
      <w:r w:rsidRPr="004560CD">
        <w:rPr>
          <w:lang w:val="fr-FR" w:eastAsia="fr-FR"/>
        </w:rPr>
        <w:t>existence de dettes envers un tiers ayant une importance particulière, comme les obligations alimentaires.</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36</w:t>
      </w:r>
      <w:r w:rsidRPr="004560CD">
        <w:rPr>
          <w:noProof/>
          <w:lang w:val="fr-FR" w:eastAsia="fr-FR"/>
        </w:rPr>
        <w:fldChar w:fldCharType="end"/>
      </w:r>
      <w:r w:rsidRPr="004560CD">
        <w:rPr>
          <w:lang w:val="fr-FR" w:eastAsia="fr-FR"/>
        </w:rPr>
        <w:t>.  Dans de précédentes affaires examinées sous l</w:t>
      </w:r>
      <w:r w:rsidR="004560CD" w:rsidRPr="004560CD">
        <w:rPr>
          <w:lang w:val="fr-FR" w:eastAsia="fr-FR"/>
        </w:rPr>
        <w:t>’</w:t>
      </w:r>
      <w:r w:rsidRPr="004560CD">
        <w:rPr>
          <w:lang w:val="fr-FR" w:eastAsia="fr-FR"/>
        </w:rPr>
        <w:t>angle de l</w:t>
      </w:r>
      <w:r w:rsidR="004560CD" w:rsidRPr="004560CD">
        <w:rPr>
          <w:lang w:val="fr-FR" w:eastAsia="fr-FR"/>
        </w:rPr>
        <w:t>’</w:t>
      </w:r>
      <w:r w:rsidRPr="004560CD">
        <w:rPr>
          <w:lang w:val="fr-FR" w:eastAsia="fr-FR"/>
        </w:rPr>
        <w:t>article 2 du Protocole n</w:t>
      </w:r>
      <w:r w:rsidRPr="004560CD">
        <w:rPr>
          <w:vertAlign w:val="superscript"/>
          <w:lang w:val="fr-FR" w:eastAsia="fr-FR"/>
        </w:rPr>
        <w:t>o</w:t>
      </w:r>
      <w:r w:rsidRPr="004560CD">
        <w:rPr>
          <w:lang w:val="fr-FR" w:eastAsia="fr-FR"/>
        </w:rPr>
        <w:t> 4, la Cour ou l</w:t>
      </w:r>
      <w:r w:rsidR="004560CD" w:rsidRPr="004560CD">
        <w:rPr>
          <w:lang w:val="fr-FR" w:eastAsia="fr-FR"/>
        </w:rPr>
        <w:t>’</w:t>
      </w:r>
      <w:r w:rsidRPr="004560CD">
        <w:rPr>
          <w:lang w:val="fr-FR" w:eastAsia="fr-FR"/>
        </w:rPr>
        <w:t>ancienne Commission européenne des droits de l</w:t>
      </w:r>
      <w:r w:rsidR="004560CD" w:rsidRPr="004560CD">
        <w:rPr>
          <w:lang w:val="fr-FR" w:eastAsia="fr-FR"/>
        </w:rPr>
        <w:t>’</w:t>
      </w:r>
      <w:r w:rsidRPr="004560CD">
        <w:rPr>
          <w:lang w:val="fr-FR" w:eastAsia="fr-FR"/>
        </w:rPr>
        <w:t>homme se sont intéressées à de telles interdictions, prononcées par exemple dans le contexte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w:t>
      </w:r>
      <w:r w:rsidR="004560CD" w:rsidRPr="004560CD">
        <w:rPr>
          <w:lang w:val="fr-FR" w:eastAsia="fr-FR"/>
        </w:rPr>
        <w:t>’</w:t>
      </w:r>
      <w:r w:rsidRPr="004560CD">
        <w:rPr>
          <w:lang w:val="fr-FR" w:eastAsia="fr-FR"/>
        </w:rPr>
        <w:t>une procédure pénale en cours (</w:t>
      </w:r>
      <w:r w:rsidRPr="004560CD">
        <w:rPr>
          <w:i/>
          <w:lang w:val="fr-FR" w:eastAsia="fr-FR"/>
        </w:rPr>
        <w:t>Schmidt c. Autriche</w:t>
      </w:r>
      <w:r w:rsidRPr="004560CD">
        <w:rPr>
          <w:lang w:val="fr-FR" w:eastAsia="fr-FR"/>
        </w:rPr>
        <w:t>, n</w:t>
      </w:r>
      <w:r w:rsidRPr="004560CD">
        <w:rPr>
          <w:vertAlign w:val="superscript"/>
          <w:lang w:val="fr-FR" w:eastAsia="fr-FR"/>
        </w:rPr>
        <w:t>o</w:t>
      </w:r>
      <w:r w:rsidRPr="004560CD">
        <w:rPr>
          <w:lang w:val="fr-FR" w:eastAsia="fr-FR"/>
        </w:rPr>
        <w:t> </w:t>
      </w:r>
      <w:hyperlink r:id="rId11" w:anchor="{&quot;appno&quot;:[&quot;10670/83&quot;]}" w:tgtFrame="_blank" w:history="1">
        <w:r w:rsidRPr="004560CD">
          <w:rPr>
            <w:lang w:val="fr-FR" w:eastAsia="fr-FR"/>
          </w:rPr>
          <w:t>10670/83</w:t>
        </w:r>
      </w:hyperlink>
      <w:r w:rsidRPr="004560CD">
        <w:rPr>
          <w:lang w:val="fr-FR" w:eastAsia="fr-FR"/>
        </w:rPr>
        <w:t>, décision de la Commission du 9 juillet 1</w:t>
      </w:r>
      <w:r w:rsidR="00A6733D" w:rsidRPr="004560CD">
        <w:rPr>
          <w:lang w:val="fr-FR" w:eastAsia="fr-FR"/>
        </w:rPr>
        <w:t>985, Décisions et rapports (DR) </w:t>
      </w:r>
      <w:r w:rsidRPr="004560CD">
        <w:rPr>
          <w:lang w:val="fr-FR" w:eastAsia="fr-FR"/>
        </w:rPr>
        <w:t xml:space="preserve">44, p. 195 ; </w:t>
      </w:r>
      <w:r w:rsidRPr="004560CD">
        <w:rPr>
          <w:i/>
          <w:lang w:val="fr-FR" w:eastAsia="fr-FR"/>
        </w:rPr>
        <w:t>Baumann c. France</w:t>
      </w:r>
      <w:r w:rsidRPr="004560CD">
        <w:rPr>
          <w:lang w:val="fr-FR" w:eastAsia="fr-FR"/>
        </w:rPr>
        <w:t>, n</w:t>
      </w:r>
      <w:r w:rsidRPr="004560CD">
        <w:rPr>
          <w:vertAlign w:val="superscript"/>
          <w:lang w:val="fr-FR" w:eastAsia="fr-FR"/>
        </w:rPr>
        <w:t>o</w:t>
      </w:r>
      <w:r w:rsidRPr="004560CD">
        <w:rPr>
          <w:lang w:val="fr-FR" w:eastAsia="fr-FR"/>
        </w:rPr>
        <w:t> </w:t>
      </w:r>
      <w:hyperlink r:id="rId12" w:anchor="{&quot;appno&quot;:[&quot;33592/96&quot;]}" w:tgtFrame="_blank" w:history="1">
        <w:r w:rsidRPr="004560CD">
          <w:rPr>
            <w:lang w:val="fr-FR" w:eastAsia="fr-FR"/>
          </w:rPr>
          <w:t>33592/96</w:t>
        </w:r>
      </w:hyperlink>
      <w:r w:rsidRPr="004560CD">
        <w:rPr>
          <w:lang w:val="fr-FR" w:eastAsia="fr-FR"/>
        </w:rPr>
        <w:t>, CEDH 2001</w:t>
      </w:r>
      <w:r w:rsidRPr="004560CD">
        <w:rPr>
          <w:lang w:val="fr-FR" w:eastAsia="fr-FR"/>
        </w:rPr>
        <w:noBreakHyphen/>
        <w:t xml:space="preserve">V ; </w:t>
      </w:r>
      <w:r w:rsidRPr="004560CD">
        <w:rPr>
          <w:i/>
          <w:lang w:val="fr-FR" w:eastAsia="fr-FR"/>
        </w:rPr>
        <w:t>Földes et Földesné Hajlik c. Hongrie</w:t>
      </w:r>
      <w:r w:rsidRPr="004560CD">
        <w:rPr>
          <w:lang w:val="fr-FR" w:eastAsia="fr-FR"/>
        </w:rPr>
        <w:t>, n</w:t>
      </w:r>
      <w:r w:rsidRPr="004560CD">
        <w:rPr>
          <w:vertAlign w:val="superscript"/>
          <w:lang w:val="fr-FR" w:eastAsia="fr-FR"/>
        </w:rPr>
        <w:t>o</w:t>
      </w:r>
      <w:r w:rsidRPr="004560CD">
        <w:rPr>
          <w:lang w:val="fr-FR" w:eastAsia="fr-FR"/>
        </w:rPr>
        <w:t> </w:t>
      </w:r>
      <w:hyperlink r:id="rId13" w:anchor="{&quot;appno&quot;:[&quot;41463/02&quot;]}" w:tgtFrame="_blank" w:history="1">
        <w:r w:rsidRPr="004560CD">
          <w:rPr>
            <w:lang w:val="fr-FR" w:eastAsia="fr-FR"/>
          </w:rPr>
          <w:t>41463/02</w:t>
        </w:r>
      </w:hyperlink>
      <w:r w:rsidRPr="004560CD">
        <w:rPr>
          <w:lang w:val="fr-FR" w:eastAsia="fr-FR"/>
        </w:rPr>
        <w:t>, CEDH 2006</w:t>
      </w:r>
      <w:r w:rsidRPr="004560CD">
        <w:rPr>
          <w:lang w:val="fr-FR" w:eastAsia="fr-FR"/>
        </w:rPr>
        <w:noBreakHyphen/>
        <w:t xml:space="preserve">XII ; </w:t>
      </w:r>
      <w:r w:rsidRPr="004560CD">
        <w:rPr>
          <w:i/>
          <w:lang w:val="fr-FR" w:eastAsia="fr-FR"/>
        </w:rPr>
        <w:t>Sissanis c.</w:t>
      </w:r>
      <w:r w:rsidR="00A6733D" w:rsidRPr="004560CD">
        <w:rPr>
          <w:i/>
          <w:lang w:val="fr-FR" w:eastAsia="fr-FR"/>
        </w:rPr>
        <w:t> </w:t>
      </w:r>
      <w:r w:rsidRPr="004560CD">
        <w:rPr>
          <w:i/>
          <w:lang w:val="fr-FR" w:eastAsia="fr-FR"/>
        </w:rPr>
        <w:t>Roumanie</w:t>
      </w:r>
      <w:r w:rsidRPr="004560CD">
        <w:rPr>
          <w:lang w:val="fr-FR" w:eastAsia="fr-FR"/>
        </w:rPr>
        <w:t>, n</w:t>
      </w:r>
      <w:r w:rsidRPr="004560CD">
        <w:rPr>
          <w:vertAlign w:val="superscript"/>
          <w:lang w:val="fr-FR" w:eastAsia="fr-FR"/>
        </w:rPr>
        <w:t>o</w:t>
      </w:r>
      <w:r w:rsidRPr="004560CD">
        <w:rPr>
          <w:lang w:val="fr-FR" w:eastAsia="fr-FR"/>
        </w:rPr>
        <w:t> </w:t>
      </w:r>
      <w:hyperlink r:id="rId14" w:anchor="{&quot;appno&quot;:[&quot;23468/02&quot;]}" w:tgtFrame="_blank" w:history="1">
        <w:r w:rsidRPr="004560CD">
          <w:rPr>
            <w:lang w:val="fr-FR" w:eastAsia="fr-FR"/>
          </w:rPr>
          <w:t>23468/02</w:t>
        </w:r>
      </w:hyperlink>
      <w:r w:rsidRPr="004560CD">
        <w:rPr>
          <w:lang w:val="fr-FR" w:eastAsia="fr-FR"/>
        </w:rPr>
        <w:t xml:space="preserve">, 25 janvier 2007 ; </w:t>
      </w:r>
      <w:r w:rsidRPr="004560CD">
        <w:rPr>
          <w:i/>
          <w:lang w:val="fr-FR" w:eastAsia="fr-FR"/>
        </w:rPr>
        <w:t>Bessenyei c.</w:t>
      </w:r>
      <w:r w:rsidR="00A6733D" w:rsidRPr="004560CD">
        <w:rPr>
          <w:i/>
          <w:lang w:val="fr-FR" w:eastAsia="fr-FR"/>
        </w:rPr>
        <w:t> </w:t>
      </w:r>
      <w:r w:rsidRPr="004560CD">
        <w:rPr>
          <w:i/>
          <w:lang w:val="fr-FR" w:eastAsia="fr-FR"/>
        </w:rPr>
        <w:t>Hongrie</w:t>
      </w:r>
      <w:r w:rsidRPr="004560CD">
        <w:rPr>
          <w:lang w:val="fr-FR" w:eastAsia="fr-FR"/>
        </w:rPr>
        <w:t>, n</w:t>
      </w:r>
      <w:r w:rsidRPr="004560CD">
        <w:rPr>
          <w:vertAlign w:val="superscript"/>
          <w:lang w:val="fr-FR" w:eastAsia="fr-FR"/>
        </w:rPr>
        <w:t>o</w:t>
      </w:r>
      <w:r w:rsidRPr="004560CD">
        <w:rPr>
          <w:lang w:val="fr-FR" w:eastAsia="fr-FR"/>
        </w:rPr>
        <w:t> </w:t>
      </w:r>
      <w:hyperlink r:id="rId15" w:anchor="{&quot;appno&quot;:[&quot;37509/06&quot;]}" w:tgtFrame="_blank" w:history="1">
        <w:r w:rsidRPr="004560CD">
          <w:rPr>
            <w:lang w:val="fr-FR" w:eastAsia="fr-FR"/>
          </w:rPr>
          <w:t>37509/06</w:t>
        </w:r>
      </w:hyperlink>
      <w:r w:rsidRPr="004560CD">
        <w:rPr>
          <w:lang w:val="fr-FR" w:eastAsia="fr-FR"/>
        </w:rPr>
        <w:t xml:space="preserve">, 21 octobre 2008 ; </w:t>
      </w:r>
      <w:r w:rsidRPr="004560CD">
        <w:rPr>
          <w:i/>
          <w:lang w:val="fr-FR" w:eastAsia="fr-FR"/>
        </w:rPr>
        <w:t>A.E. c. Pologne</w:t>
      </w:r>
      <w:r w:rsidRPr="004560CD">
        <w:rPr>
          <w:lang w:val="fr-FR" w:eastAsia="fr-FR"/>
        </w:rPr>
        <w:t>, n</w:t>
      </w:r>
      <w:r w:rsidRPr="004560CD">
        <w:rPr>
          <w:vertAlign w:val="superscript"/>
          <w:lang w:val="fr-FR" w:eastAsia="fr-FR"/>
        </w:rPr>
        <w:t>o</w:t>
      </w:r>
      <w:r w:rsidRPr="004560CD">
        <w:rPr>
          <w:lang w:val="fr-FR" w:eastAsia="fr-FR"/>
        </w:rPr>
        <w:t> </w:t>
      </w:r>
      <w:hyperlink r:id="rId16" w:anchor="{&quot;appno&quot;:[&quot;14480/04&quot;]}" w:tgtFrame="_blank" w:history="1">
        <w:r w:rsidRPr="004560CD">
          <w:rPr>
            <w:lang w:val="fr-FR" w:eastAsia="fr-FR"/>
          </w:rPr>
          <w:t>14480/04</w:t>
        </w:r>
      </w:hyperlink>
      <w:r w:rsidRPr="004560CD">
        <w:rPr>
          <w:lang w:val="fr-FR" w:eastAsia="fr-FR"/>
        </w:rPr>
        <w:t>, 31</w:t>
      </w:r>
      <w:r w:rsidR="00A6733D" w:rsidRPr="004560CD">
        <w:rPr>
          <w:lang w:val="fr-FR" w:eastAsia="fr-FR"/>
        </w:rPr>
        <w:t> </w:t>
      </w:r>
      <w:r w:rsidRPr="004560CD">
        <w:rPr>
          <w:lang w:val="fr-FR" w:eastAsia="fr-FR"/>
        </w:rPr>
        <w:t>mars</w:t>
      </w:r>
      <w:r w:rsidR="00A6733D" w:rsidRPr="004560CD">
        <w:rPr>
          <w:lang w:val="fr-FR" w:eastAsia="fr-FR"/>
        </w:rPr>
        <w:t> </w:t>
      </w:r>
      <w:r w:rsidRPr="004560CD">
        <w:rPr>
          <w:lang w:val="fr-FR" w:eastAsia="fr-FR"/>
        </w:rPr>
        <w:t xml:space="preserve">2009 ; </w:t>
      </w:r>
      <w:r w:rsidRPr="004560CD">
        <w:rPr>
          <w:i/>
          <w:lang w:val="fr-FR" w:eastAsia="fr-FR"/>
        </w:rPr>
        <w:t>Iordan Iordanov et autres c. Bulgarie</w:t>
      </w:r>
      <w:r w:rsidRPr="004560CD">
        <w:rPr>
          <w:lang w:val="fr-FR" w:eastAsia="fr-FR"/>
        </w:rPr>
        <w:t>, n</w:t>
      </w:r>
      <w:r w:rsidRPr="004560CD">
        <w:rPr>
          <w:vertAlign w:val="superscript"/>
          <w:lang w:val="fr-FR" w:eastAsia="fr-FR"/>
        </w:rPr>
        <w:t>o</w:t>
      </w:r>
      <w:r w:rsidRPr="004560CD">
        <w:rPr>
          <w:lang w:val="fr-FR" w:eastAsia="fr-FR"/>
        </w:rPr>
        <w:t> </w:t>
      </w:r>
      <w:hyperlink r:id="rId17" w:anchor="{&quot;appno&quot;:[&quot;23530/02&quot;]}" w:tgtFrame="_blank" w:history="1">
        <w:r w:rsidRPr="004560CD">
          <w:rPr>
            <w:lang w:val="fr-FR" w:eastAsia="fr-FR"/>
          </w:rPr>
          <w:t>23530/02</w:t>
        </w:r>
      </w:hyperlink>
      <w:r w:rsidRPr="004560CD">
        <w:rPr>
          <w:lang w:val="fr-FR" w:eastAsia="fr-FR"/>
        </w:rPr>
        <w:t>, 2</w:t>
      </w:r>
      <w:r w:rsidR="00A6733D" w:rsidRPr="004560CD">
        <w:rPr>
          <w:lang w:val="fr-FR" w:eastAsia="fr-FR"/>
        </w:rPr>
        <w:t> </w:t>
      </w:r>
      <w:r w:rsidRPr="004560CD">
        <w:rPr>
          <w:lang w:val="fr-FR" w:eastAsia="fr-FR"/>
        </w:rPr>
        <w:t>juillet</w:t>
      </w:r>
      <w:r w:rsidR="00A6733D" w:rsidRPr="004560CD">
        <w:rPr>
          <w:lang w:val="fr-FR" w:eastAsia="fr-FR"/>
        </w:rPr>
        <w:t> </w:t>
      </w:r>
      <w:r w:rsidRPr="004560CD">
        <w:rPr>
          <w:lang w:val="fr-FR" w:eastAsia="fr-FR"/>
        </w:rPr>
        <w:t xml:space="preserve">2009 ; </w:t>
      </w:r>
      <w:r w:rsidRPr="004560CD">
        <w:rPr>
          <w:i/>
          <w:lang w:val="fr-FR" w:eastAsia="fr-FR"/>
        </w:rPr>
        <w:t>Makedonski c. Bulgarie</w:t>
      </w:r>
      <w:r w:rsidRPr="004560CD">
        <w:rPr>
          <w:lang w:val="fr-FR" w:eastAsia="fr-FR"/>
        </w:rPr>
        <w:t>, n</w:t>
      </w:r>
      <w:r w:rsidRPr="004560CD">
        <w:rPr>
          <w:vertAlign w:val="superscript"/>
          <w:lang w:val="fr-FR" w:eastAsia="fr-FR"/>
        </w:rPr>
        <w:t>o</w:t>
      </w:r>
      <w:r w:rsidRPr="004560CD">
        <w:rPr>
          <w:lang w:val="fr-FR" w:eastAsia="fr-FR"/>
        </w:rPr>
        <w:t> </w:t>
      </w:r>
      <w:hyperlink r:id="rId18" w:anchor="{&quot;appno&quot;:[&quot;36036/04&quot;]}" w:tgtFrame="_blank" w:history="1">
        <w:r w:rsidRPr="004560CD">
          <w:rPr>
            <w:lang w:val="fr-FR" w:eastAsia="fr-FR"/>
          </w:rPr>
          <w:t>36036/04</w:t>
        </w:r>
      </w:hyperlink>
      <w:r w:rsidRPr="004560CD">
        <w:rPr>
          <w:lang w:val="fr-FR" w:eastAsia="fr-FR"/>
        </w:rPr>
        <w:t>, 20</w:t>
      </w:r>
      <w:r w:rsidR="00A6733D" w:rsidRPr="004560CD">
        <w:rPr>
          <w:lang w:val="fr-FR" w:eastAsia="fr-FR"/>
        </w:rPr>
        <w:t> </w:t>
      </w:r>
      <w:r w:rsidRPr="004560CD">
        <w:rPr>
          <w:lang w:val="fr-FR" w:eastAsia="fr-FR"/>
        </w:rPr>
        <w:t>janvier</w:t>
      </w:r>
      <w:r w:rsidR="00A6733D" w:rsidRPr="004560CD">
        <w:rPr>
          <w:lang w:val="fr-FR" w:eastAsia="fr-FR"/>
        </w:rPr>
        <w:t> </w:t>
      </w:r>
      <w:r w:rsidRPr="004560CD">
        <w:rPr>
          <w:lang w:val="fr-FR" w:eastAsia="fr-FR"/>
        </w:rPr>
        <w:t>2011 ;</w:t>
      </w:r>
      <w:r w:rsidRPr="004560CD">
        <w:rPr>
          <w:i/>
          <w:lang w:val="fr-FR" w:eastAsia="fr-FR"/>
        </w:rPr>
        <w:t xml:space="preserve"> Pfeifer c. Bulgarie</w:t>
      </w:r>
      <w:r w:rsidRPr="004560CD">
        <w:rPr>
          <w:lang w:val="fr-FR" w:eastAsia="fr-FR"/>
        </w:rPr>
        <w:t>, n</w:t>
      </w:r>
      <w:r w:rsidRPr="004560CD">
        <w:rPr>
          <w:vertAlign w:val="superscript"/>
          <w:lang w:val="fr-FR" w:eastAsia="fr-FR"/>
        </w:rPr>
        <w:t>o</w:t>
      </w:r>
      <w:r w:rsidRPr="004560CD">
        <w:rPr>
          <w:lang w:val="fr-FR" w:eastAsia="fr-FR"/>
        </w:rPr>
        <w:t> </w:t>
      </w:r>
      <w:hyperlink r:id="rId19" w:anchor="{&quot;appno&quot;:[&quot;24733/04&quot;]}" w:tgtFrame="_blank" w:history="1">
        <w:r w:rsidRPr="004560CD">
          <w:rPr>
            <w:lang w:val="fr-FR" w:eastAsia="fr-FR"/>
          </w:rPr>
          <w:t>24733/04</w:t>
        </w:r>
      </w:hyperlink>
      <w:r w:rsidRPr="004560CD">
        <w:rPr>
          <w:lang w:val="fr-FR" w:eastAsia="fr-FR"/>
        </w:rPr>
        <w:t xml:space="preserve">, 17 février 2011 ; </w:t>
      </w:r>
      <w:r w:rsidRPr="004560CD">
        <w:rPr>
          <w:i/>
          <w:lang w:val="fr-FR" w:eastAsia="fr-FR"/>
        </w:rPr>
        <w:t>Prescher c.</w:t>
      </w:r>
      <w:r w:rsidR="00A6733D" w:rsidRPr="004560CD">
        <w:rPr>
          <w:i/>
          <w:lang w:val="fr-FR" w:eastAsia="fr-FR"/>
        </w:rPr>
        <w:t> </w:t>
      </w:r>
      <w:r w:rsidRPr="004560CD">
        <w:rPr>
          <w:i/>
          <w:lang w:val="fr-FR" w:eastAsia="fr-FR"/>
        </w:rPr>
        <w:t>Bulgarie</w:t>
      </w:r>
      <w:r w:rsidRPr="004560CD">
        <w:rPr>
          <w:lang w:val="fr-FR" w:eastAsia="fr-FR"/>
        </w:rPr>
        <w:t>, n</w:t>
      </w:r>
      <w:r w:rsidRPr="004560CD">
        <w:rPr>
          <w:vertAlign w:val="superscript"/>
          <w:lang w:val="fr-FR" w:eastAsia="fr-FR"/>
        </w:rPr>
        <w:t>o</w:t>
      </w:r>
      <w:r w:rsidRPr="004560CD">
        <w:rPr>
          <w:lang w:val="fr-FR" w:eastAsia="fr-FR"/>
        </w:rPr>
        <w:t> </w:t>
      </w:r>
      <w:hyperlink r:id="rId20" w:anchor="{&quot;appno&quot;:[&quot;6767/04&quot;]}" w:tgtFrame="_blank" w:history="1">
        <w:r w:rsidRPr="004560CD">
          <w:rPr>
            <w:lang w:val="fr-FR" w:eastAsia="fr-FR"/>
          </w:rPr>
          <w:t>6767/04</w:t>
        </w:r>
      </w:hyperlink>
      <w:r w:rsidRPr="004560CD">
        <w:rPr>
          <w:lang w:val="fr-FR" w:eastAsia="fr-FR"/>
        </w:rPr>
        <w:t xml:space="preserve">, 7 juin 2011 ; et </w:t>
      </w:r>
      <w:r w:rsidRPr="004560CD">
        <w:rPr>
          <w:i/>
          <w:lang w:val="fr-FR" w:eastAsia="fr-FR"/>
        </w:rPr>
        <w:t>Miażdżyk c. Pologne</w:t>
      </w:r>
      <w:r w:rsidRPr="004560CD">
        <w:rPr>
          <w:lang w:val="fr-FR" w:eastAsia="fr-FR"/>
        </w:rPr>
        <w:t>, n</w:t>
      </w:r>
      <w:r w:rsidRPr="004560CD">
        <w:rPr>
          <w:vertAlign w:val="superscript"/>
          <w:lang w:val="fr-FR" w:eastAsia="fr-FR"/>
        </w:rPr>
        <w:t>o</w:t>
      </w:r>
      <w:r w:rsidRPr="004560CD">
        <w:rPr>
          <w:lang w:val="fr-FR" w:eastAsia="fr-FR"/>
        </w:rPr>
        <w:t> </w:t>
      </w:r>
      <w:hyperlink r:id="rId21" w:anchor="{&quot;appno&quot;:[&quot;23592/07&quot;]}" w:tgtFrame="_blank" w:history="1">
        <w:r w:rsidRPr="004560CD">
          <w:rPr>
            <w:lang w:val="fr-FR" w:eastAsia="fr-FR"/>
          </w:rPr>
          <w:t>23592/07</w:t>
        </w:r>
      </w:hyperlink>
      <w:r w:rsidRPr="004560CD">
        <w:rPr>
          <w:lang w:val="fr-FR" w:eastAsia="fr-FR"/>
        </w:rPr>
        <w:t>, 24</w:t>
      </w:r>
      <w:r w:rsidR="00A6733D" w:rsidRPr="004560CD">
        <w:rPr>
          <w:lang w:val="fr-FR" w:eastAsia="fr-FR"/>
        </w:rPr>
        <w:t> </w:t>
      </w:r>
      <w:r w:rsidRPr="004560CD">
        <w:rPr>
          <w:lang w:val="fr-FR" w:eastAsia="fr-FR"/>
        </w:rPr>
        <w:t>janvier</w:t>
      </w:r>
      <w:r w:rsidR="00A6733D" w:rsidRPr="004560CD">
        <w:rPr>
          <w:lang w:val="fr-FR" w:eastAsia="fr-FR"/>
        </w:rPr>
        <w:t> </w:t>
      </w:r>
      <w:r w:rsidRPr="004560CD">
        <w:rPr>
          <w:lang w:val="fr-FR" w:eastAsia="fr-FR"/>
        </w:rPr>
        <w:t>2012)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de l</w:t>
      </w:r>
      <w:r w:rsidR="004560CD" w:rsidRPr="004560CD">
        <w:rPr>
          <w:lang w:val="fr-FR" w:eastAsia="fr-FR"/>
        </w:rPr>
        <w:t>’</w:t>
      </w:r>
      <w:r w:rsidRPr="004560CD">
        <w:rPr>
          <w:lang w:val="fr-FR" w:eastAsia="fr-FR"/>
        </w:rPr>
        <w:t>exécution d</w:t>
      </w:r>
      <w:r w:rsidR="004560CD" w:rsidRPr="004560CD">
        <w:rPr>
          <w:lang w:val="fr-FR" w:eastAsia="fr-FR"/>
        </w:rPr>
        <w:t>’</w:t>
      </w:r>
      <w:r w:rsidRPr="004560CD">
        <w:rPr>
          <w:lang w:val="fr-FR" w:eastAsia="fr-FR"/>
        </w:rPr>
        <w:t>une peine (</w:t>
      </w:r>
      <w:r w:rsidRPr="004560CD">
        <w:rPr>
          <w:i/>
          <w:lang w:val="fr-FR" w:eastAsia="fr-FR"/>
        </w:rPr>
        <w:t>M. c. Allemagne</w:t>
      </w:r>
      <w:r w:rsidRPr="004560CD">
        <w:rPr>
          <w:lang w:val="fr-FR" w:eastAsia="fr-FR"/>
        </w:rPr>
        <w:t>, n</w:t>
      </w:r>
      <w:r w:rsidRPr="004560CD">
        <w:rPr>
          <w:vertAlign w:val="superscript"/>
          <w:lang w:val="fr-FR" w:eastAsia="fr-FR"/>
        </w:rPr>
        <w:t>o</w:t>
      </w:r>
      <w:r w:rsidRPr="004560CD">
        <w:rPr>
          <w:lang w:val="fr-FR" w:eastAsia="fr-FR"/>
        </w:rPr>
        <w:t> </w:t>
      </w:r>
      <w:hyperlink r:id="rId22" w:anchor="{&quot;appno&quot;:[&quot;10307/83&quot;]}" w:tgtFrame="_blank" w:history="1">
        <w:r w:rsidRPr="004560CD">
          <w:rPr>
            <w:lang w:val="fr-FR" w:eastAsia="fr-FR"/>
          </w:rPr>
          <w:t>10307/83</w:t>
        </w:r>
      </w:hyperlink>
      <w:r w:rsidRPr="004560CD">
        <w:rPr>
          <w:lang w:val="fr-FR" w:eastAsia="fr-FR"/>
        </w:rPr>
        <w:t>, décision de la Commission du 6 mars 1984, DR 37, p. 113)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de la condamnation de l</w:t>
      </w:r>
      <w:r w:rsidR="004560CD" w:rsidRPr="004560CD">
        <w:rPr>
          <w:lang w:val="fr-FR" w:eastAsia="fr-FR"/>
        </w:rPr>
        <w:t>’</w:t>
      </w:r>
      <w:r w:rsidRPr="004560CD">
        <w:rPr>
          <w:lang w:val="fr-FR" w:eastAsia="fr-FR"/>
        </w:rPr>
        <w:t>intéressé pour une infraction pénale, tant qu</w:t>
      </w:r>
      <w:r w:rsidR="004560CD" w:rsidRPr="004560CD">
        <w:rPr>
          <w:lang w:val="fr-FR" w:eastAsia="fr-FR"/>
        </w:rPr>
        <w:t>’</w:t>
      </w:r>
      <w:r w:rsidRPr="004560CD">
        <w:rPr>
          <w:lang w:val="fr-FR" w:eastAsia="fr-FR"/>
        </w:rPr>
        <w:t>il n</w:t>
      </w:r>
      <w:r w:rsidR="004560CD" w:rsidRPr="004560CD">
        <w:rPr>
          <w:lang w:val="fr-FR" w:eastAsia="fr-FR"/>
        </w:rPr>
        <w:t>’</w:t>
      </w:r>
      <w:r w:rsidRPr="004560CD">
        <w:rPr>
          <w:lang w:val="fr-FR" w:eastAsia="fr-FR"/>
        </w:rPr>
        <w:t>aurait pas été réhabilité (</w:t>
      </w:r>
      <w:r w:rsidRPr="004560CD">
        <w:rPr>
          <w:i/>
          <w:lang w:val="fr-FR" w:eastAsia="fr-FR"/>
        </w:rPr>
        <w:t>Nalbantski c. Bulgarie</w:t>
      </w:r>
      <w:r w:rsidRPr="004560CD">
        <w:rPr>
          <w:lang w:val="fr-FR" w:eastAsia="fr-FR"/>
        </w:rPr>
        <w:t>,</w:t>
      </w:r>
      <w:r w:rsidRPr="004560CD">
        <w:rPr>
          <w:i/>
          <w:lang w:val="fr-FR" w:eastAsia="fr-FR"/>
        </w:rPr>
        <w:t xml:space="preserve"> </w:t>
      </w:r>
      <w:r w:rsidRPr="004560CD">
        <w:rPr>
          <w:lang w:val="fr-FR" w:eastAsia="fr-FR"/>
        </w:rPr>
        <w:t>n</w:t>
      </w:r>
      <w:r w:rsidRPr="004560CD">
        <w:rPr>
          <w:vertAlign w:val="superscript"/>
          <w:lang w:val="fr-FR" w:eastAsia="fr-FR"/>
        </w:rPr>
        <w:t>o </w:t>
      </w:r>
      <w:r w:rsidRPr="004560CD">
        <w:rPr>
          <w:lang w:val="fr-FR" w:eastAsia="fr-FR"/>
        </w:rPr>
        <w:t>30943/04, 10 février 2011)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w:t>
      </w:r>
      <w:r w:rsidR="004560CD" w:rsidRPr="004560CD">
        <w:rPr>
          <w:lang w:val="fr-FR" w:eastAsia="fr-FR"/>
        </w:rPr>
        <w:t>’</w:t>
      </w:r>
      <w:r w:rsidRPr="004560CD">
        <w:rPr>
          <w:lang w:val="fr-FR" w:eastAsia="fr-FR"/>
        </w:rPr>
        <w:t>une procédure de faillite en cours (</w:t>
      </w:r>
      <w:r w:rsidRPr="004560CD">
        <w:rPr>
          <w:i/>
          <w:lang w:val="fr-FR" w:eastAsia="fr-FR"/>
        </w:rPr>
        <w:t>Luordo c. Italie</w:t>
      </w:r>
      <w:r w:rsidRPr="004560CD">
        <w:rPr>
          <w:lang w:val="fr-FR" w:eastAsia="fr-FR"/>
        </w:rPr>
        <w:t>, n</w:t>
      </w:r>
      <w:r w:rsidRPr="004560CD">
        <w:rPr>
          <w:vertAlign w:val="superscript"/>
          <w:lang w:val="fr-FR" w:eastAsia="fr-FR"/>
        </w:rPr>
        <w:t>o</w:t>
      </w:r>
      <w:r w:rsidRPr="004560CD">
        <w:rPr>
          <w:lang w:val="fr-FR" w:eastAsia="fr-FR"/>
        </w:rPr>
        <w:t> </w:t>
      </w:r>
      <w:hyperlink r:id="rId23" w:anchor="{&quot;appno&quot;:[&quot;32190/96&quot;]}" w:tgtFrame="_blank" w:history="1">
        <w:r w:rsidRPr="004560CD">
          <w:rPr>
            <w:lang w:val="fr-FR" w:eastAsia="fr-FR"/>
          </w:rPr>
          <w:t>32190/96</w:t>
        </w:r>
      </w:hyperlink>
      <w:r w:rsidRPr="004560CD">
        <w:rPr>
          <w:lang w:val="fr-FR" w:eastAsia="fr-FR"/>
        </w:rPr>
        <w:t>, CEDH 2003</w:t>
      </w:r>
      <w:r w:rsidRPr="004560CD">
        <w:rPr>
          <w:lang w:val="fr-FR" w:eastAsia="fr-FR"/>
        </w:rPr>
        <w:noBreakHyphen/>
        <w:t>IX)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du refus de payer une amende douanière (</w:t>
      </w:r>
      <w:r w:rsidRPr="004560CD">
        <w:rPr>
          <w:i/>
          <w:lang w:val="fr-FR" w:eastAsia="fr-FR"/>
        </w:rPr>
        <w:t>Napijalo c.</w:t>
      </w:r>
      <w:r w:rsidR="00A6733D" w:rsidRPr="004560CD">
        <w:rPr>
          <w:i/>
          <w:lang w:val="fr-FR" w:eastAsia="fr-FR"/>
        </w:rPr>
        <w:t> </w:t>
      </w:r>
      <w:r w:rsidRPr="004560CD">
        <w:rPr>
          <w:i/>
          <w:lang w:val="fr-FR" w:eastAsia="fr-FR"/>
        </w:rPr>
        <w:t>Croatie</w:t>
      </w:r>
      <w:r w:rsidRPr="004560CD">
        <w:rPr>
          <w:lang w:val="fr-FR" w:eastAsia="fr-FR"/>
        </w:rPr>
        <w:t>, n</w:t>
      </w:r>
      <w:r w:rsidRPr="004560CD">
        <w:rPr>
          <w:vertAlign w:val="superscript"/>
          <w:lang w:val="fr-FR" w:eastAsia="fr-FR"/>
        </w:rPr>
        <w:t>o</w:t>
      </w:r>
      <w:r w:rsidRPr="004560CD">
        <w:rPr>
          <w:lang w:val="fr-FR" w:eastAsia="fr-FR"/>
        </w:rPr>
        <w:t> </w:t>
      </w:r>
      <w:hyperlink r:id="rId24" w:anchor="{&quot;appno&quot;:[&quot;66485/01&quot;]}" w:tgtFrame="_blank" w:history="1">
        <w:r w:rsidRPr="004560CD">
          <w:rPr>
            <w:lang w:val="fr-FR" w:eastAsia="fr-FR"/>
          </w:rPr>
          <w:t>66485/01</w:t>
        </w:r>
      </w:hyperlink>
      <w:r w:rsidRPr="004560CD">
        <w:rPr>
          <w:lang w:val="fr-FR" w:eastAsia="fr-FR"/>
        </w:rPr>
        <w:t>, 13 novembre 2003)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w:t>
      </w:r>
      <w:r w:rsidR="004560CD" w:rsidRPr="004560CD">
        <w:rPr>
          <w:lang w:val="fr-FR" w:eastAsia="fr-FR"/>
        </w:rPr>
        <w:t>’</w:t>
      </w:r>
      <w:r w:rsidRPr="004560CD">
        <w:rPr>
          <w:lang w:val="fr-FR" w:eastAsia="fr-FR"/>
        </w:rPr>
        <w:t>un manquement à acquitter un impôt (</w:t>
      </w:r>
      <w:r w:rsidRPr="004560CD">
        <w:rPr>
          <w:i/>
          <w:lang w:val="fr-FR" w:eastAsia="fr-FR"/>
        </w:rPr>
        <w:t>Riener c.</w:t>
      </w:r>
      <w:r w:rsidR="00A6733D" w:rsidRPr="004560CD">
        <w:rPr>
          <w:i/>
          <w:lang w:val="fr-FR" w:eastAsia="fr-FR"/>
        </w:rPr>
        <w:t> </w:t>
      </w:r>
      <w:r w:rsidRPr="004560CD">
        <w:rPr>
          <w:i/>
          <w:lang w:val="fr-FR" w:eastAsia="fr-FR"/>
        </w:rPr>
        <w:t>Bulgarie</w:t>
      </w:r>
      <w:r w:rsidRPr="004560CD">
        <w:rPr>
          <w:lang w:val="fr-FR" w:eastAsia="fr-FR"/>
        </w:rPr>
        <w:t>, n</w:t>
      </w:r>
      <w:r w:rsidRPr="004560CD">
        <w:rPr>
          <w:vertAlign w:val="superscript"/>
          <w:lang w:val="fr-FR" w:eastAsia="fr-FR"/>
        </w:rPr>
        <w:t>o</w:t>
      </w:r>
      <w:r w:rsidRPr="004560CD">
        <w:rPr>
          <w:lang w:val="fr-FR" w:eastAsia="fr-FR"/>
        </w:rPr>
        <w:t> </w:t>
      </w:r>
      <w:hyperlink r:id="rId25" w:anchor="{&quot;appno&quot;:[&quot;46343/99&quot;]}" w:tgtFrame="_blank" w:history="1">
        <w:r w:rsidRPr="004560CD">
          <w:rPr>
            <w:lang w:val="fr-FR" w:eastAsia="fr-FR"/>
          </w:rPr>
          <w:t>46343/99</w:t>
        </w:r>
      </w:hyperlink>
      <w:r w:rsidRPr="004560CD">
        <w:rPr>
          <w:lang w:val="fr-FR" w:eastAsia="fr-FR"/>
        </w:rPr>
        <w:t>, 23 mai 2006) ;</w:t>
      </w:r>
    </w:p>
    <w:p w:rsidR="005A16EE" w:rsidRPr="004560CD" w:rsidRDefault="005A16EE" w:rsidP="004560CD">
      <w:pPr>
        <w:pStyle w:val="ECHRPara"/>
        <w:rPr>
          <w:i/>
          <w:lang w:val="fr-FR" w:eastAsia="fr-FR"/>
        </w:rPr>
      </w:pPr>
      <w:r w:rsidRPr="004560CD">
        <w:rPr>
          <w:lang w:val="fr-FR" w:eastAsia="fr-FR"/>
        </w:rPr>
        <w:t>–</w:t>
      </w:r>
      <w:r w:rsidR="00F73F0F" w:rsidRPr="004560CD">
        <w:rPr>
          <w:lang w:val="fr-FR" w:eastAsia="fr-FR"/>
        </w:rPr>
        <w:t>  </w:t>
      </w:r>
      <w:r w:rsidRPr="004560CD">
        <w:rPr>
          <w:lang w:val="fr-FR" w:eastAsia="fr-FR"/>
        </w:rPr>
        <w:t>d</w:t>
      </w:r>
      <w:r w:rsidR="004560CD" w:rsidRPr="004560CD">
        <w:rPr>
          <w:lang w:val="fr-FR" w:eastAsia="fr-FR"/>
        </w:rPr>
        <w:t>’</w:t>
      </w:r>
      <w:r w:rsidRPr="004560CD">
        <w:rPr>
          <w:lang w:val="fr-FR" w:eastAsia="fr-FR"/>
        </w:rPr>
        <w:t>un manquement à rembourser à un créancier privé une dette établie par une décision judiciaire (</w:t>
      </w:r>
      <w:r w:rsidRPr="004560CD">
        <w:rPr>
          <w:i/>
          <w:lang w:val="fr-FR" w:eastAsia="fr-FR"/>
        </w:rPr>
        <w:t>Ignatov c. Bulgarie</w:t>
      </w:r>
      <w:r w:rsidRPr="004560CD">
        <w:rPr>
          <w:lang w:val="fr-FR" w:eastAsia="fr-FR"/>
        </w:rPr>
        <w:t>, n</w:t>
      </w:r>
      <w:r w:rsidRPr="004560CD">
        <w:rPr>
          <w:vertAlign w:val="superscript"/>
          <w:lang w:val="fr-FR" w:eastAsia="fr-FR"/>
        </w:rPr>
        <w:t>o</w:t>
      </w:r>
      <w:r w:rsidRPr="004560CD">
        <w:rPr>
          <w:lang w:val="fr-FR" w:eastAsia="fr-FR"/>
        </w:rPr>
        <w:t> </w:t>
      </w:r>
      <w:hyperlink r:id="rId26" w:anchor="{&quot;appno&quot;:[&quot;50/02&quot;]}" w:tgtFrame="_blank" w:history="1">
        <w:r w:rsidRPr="004560CD">
          <w:rPr>
            <w:lang w:val="fr-FR" w:eastAsia="fr-FR"/>
          </w:rPr>
          <w:t>50/02</w:t>
        </w:r>
      </w:hyperlink>
      <w:r w:rsidRPr="004560CD">
        <w:rPr>
          <w:lang w:val="fr-FR" w:eastAsia="fr-FR"/>
        </w:rPr>
        <w:t xml:space="preserve">, 2 juillet 2009, et </w:t>
      </w:r>
      <w:r w:rsidRPr="004560CD">
        <w:rPr>
          <w:i/>
          <w:lang w:val="fr-FR" w:eastAsia="fr-FR"/>
        </w:rPr>
        <w:t>Gochev c. Bulgarie</w:t>
      </w:r>
      <w:r w:rsidRPr="004560CD">
        <w:rPr>
          <w:lang w:val="fr-FR" w:eastAsia="fr-FR"/>
        </w:rPr>
        <w:t>, n</w:t>
      </w:r>
      <w:r w:rsidRPr="004560CD">
        <w:rPr>
          <w:vertAlign w:val="superscript"/>
          <w:lang w:val="fr-FR" w:eastAsia="fr-FR"/>
        </w:rPr>
        <w:t>o</w:t>
      </w:r>
      <w:r w:rsidRPr="004560CD">
        <w:rPr>
          <w:lang w:val="fr-FR" w:eastAsia="fr-FR"/>
        </w:rPr>
        <w:t> </w:t>
      </w:r>
      <w:hyperlink r:id="rId27" w:anchor="{&quot;appno&quot;:[&quot;34383/03&quot;]}" w:tgtFrame="_blank" w:history="1">
        <w:r w:rsidRPr="004560CD">
          <w:rPr>
            <w:lang w:val="fr-FR" w:eastAsia="fr-FR"/>
          </w:rPr>
          <w:t>34383/03</w:t>
        </w:r>
      </w:hyperlink>
      <w:r w:rsidRPr="004560CD">
        <w:rPr>
          <w:lang w:val="fr-FR" w:eastAsia="fr-FR"/>
        </w:rPr>
        <w:t xml:space="preserve">, 26 novembre 2009 ; </w:t>
      </w:r>
      <w:r w:rsidRPr="004560CD">
        <w:rPr>
          <w:i/>
          <w:snapToGrid w:val="0"/>
          <w:lang w:val="fr-FR" w:eastAsia="fr-FR"/>
        </w:rPr>
        <w:t>Khlyustov c.</w:t>
      </w:r>
      <w:r w:rsidR="00A6733D" w:rsidRPr="004560CD">
        <w:rPr>
          <w:i/>
          <w:snapToGrid w:val="0"/>
          <w:lang w:val="fr-FR" w:eastAsia="fr-FR"/>
        </w:rPr>
        <w:t> </w:t>
      </w:r>
      <w:r w:rsidRPr="004560CD">
        <w:rPr>
          <w:i/>
          <w:snapToGrid w:val="0"/>
          <w:lang w:val="fr-FR" w:eastAsia="fr-FR"/>
        </w:rPr>
        <w:t>Russie</w:t>
      </w:r>
      <w:r w:rsidRPr="004560CD">
        <w:rPr>
          <w:snapToGrid w:val="0"/>
          <w:lang w:val="fr-FR" w:eastAsia="fr-FR"/>
        </w:rPr>
        <w:t>, n</w:t>
      </w:r>
      <w:r w:rsidRPr="004560CD">
        <w:rPr>
          <w:snapToGrid w:val="0"/>
          <w:vertAlign w:val="superscript"/>
          <w:lang w:val="fr-FR" w:eastAsia="fr-FR"/>
        </w:rPr>
        <w:t>o</w:t>
      </w:r>
      <w:r w:rsidRPr="004560CD">
        <w:rPr>
          <w:snapToGrid w:val="0"/>
          <w:lang w:val="fr-FR" w:eastAsia="fr-FR"/>
        </w:rPr>
        <w:t xml:space="preserve"> 28975/05</w:t>
      </w:r>
      <w:r w:rsidRPr="004560CD">
        <w:rPr>
          <w:snapToGrid w:val="0"/>
          <w:lang w:val="pt-BR" w:eastAsia="fr-FR"/>
        </w:rPr>
        <w:t>, 11 juillet 2013</w:t>
      </w:r>
      <w:r w:rsidRPr="004560CD">
        <w:rPr>
          <w:lang w:val="fr-FR" w:eastAsia="fr-FR"/>
        </w:rPr>
        <w:t>)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de la connaissance de « secrets d</w:t>
      </w:r>
      <w:r w:rsidR="004560CD" w:rsidRPr="004560CD">
        <w:rPr>
          <w:lang w:val="fr-FR" w:eastAsia="fr-FR"/>
        </w:rPr>
        <w:t>’</w:t>
      </w:r>
      <w:r w:rsidRPr="004560CD">
        <w:rPr>
          <w:lang w:val="fr-FR" w:eastAsia="fr-FR"/>
        </w:rPr>
        <w:t>État » (</w:t>
      </w:r>
      <w:r w:rsidRPr="004560CD">
        <w:rPr>
          <w:i/>
          <w:lang w:val="fr-FR" w:eastAsia="fr-FR"/>
        </w:rPr>
        <w:t>Bartik c. Russie</w:t>
      </w:r>
      <w:r w:rsidRPr="004560CD">
        <w:rPr>
          <w:lang w:val="fr-FR" w:eastAsia="fr-FR"/>
        </w:rPr>
        <w:t>, n</w:t>
      </w:r>
      <w:r w:rsidRPr="004560CD">
        <w:rPr>
          <w:vertAlign w:val="superscript"/>
          <w:lang w:val="fr-FR" w:eastAsia="fr-FR"/>
        </w:rPr>
        <w:t>o</w:t>
      </w:r>
      <w:r w:rsidRPr="004560CD">
        <w:rPr>
          <w:lang w:val="fr-FR" w:eastAsia="fr-FR"/>
        </w:rPr>
        <w:t> </w:t>
      </w:r>
      <w:hyperlink r:id="rId28" w:anchor="{&quot;appno&quot;:[&quot;55565/00&quot;]}" w:tgtFrame="_blank" w:history="1">
        <w:r w:rsidRPr="004560CD">
          <w:rPr>
            <w:lang w:val="fr-FR" w:eastAsia="fr-FR"/>
          </w:rPr>
          <w:t>55565/00</w:t>
        </w:r>
      </w:hyperlink>
      <w:r w:rsidRPr="004560CD">
        <w:rPr>
          <w:lang w:val="fr-FR" w:eastAsia="fr-FR"/>
        </w:rPr>
        <w:t>, CEDH 2006</w:t>
      </w:r>
      <w:r w:rsidRPr="004560CD">
        <w:rPr>
          <w:lang w:val="fr-FR" w:eastAsia="fr-FR"/>
        </w:rPr>
        <w:noBreakHyphen/>
        <w:t>XV)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du défaut d</w:t>
      </w:r>
      <w:r w:rsidR="004560CD" w:rsidRPr="004560CD">
        <w:rPr>
          <w:lang w:val="fr-FR" w:eastAsia="fr-FR"/>
        </w:rPr>
        <w:t>’</w:t>
      </w:r>
      <w:r w:rsidRPr="004560CD">
        <w:rPr>
          <w:lang w:val="fr-FR" w:eastAsia="fr-FR"/>
        </w:rPr>
        <w:t>accomplissement des obligations du service militaire (</w:t>
      </w:r>
      <w:r w:rsidRPr="004560CD">
        <w:rPr>
          <w:i/>
          <w:lang w:val="fr-FR" w:eastAsia="fr-FR"/>
        </w:rPr>
        <w:t>Peltonen c. Finlande,</w:t>
      </w:r>
      <w:r w:rsidRPr="004560CD">
        <w:rPr>
          <w:lang w:val="fr-FR" w:eastAsia="fr-FR"/>
        </w:rPr>
        <w:t xml:space="preserve"> n</w:t>
      </w:r>
      <w:r w:rsidRPr="004560CD">
        <w:rPr>
          <w:vertAlign w:val="superscript"/>
          <w:lang w:val="fr-FR" w:eastAsia="fr-FR"/>
        </w:rPr>
        <w:t>o</w:t>
      </w:r>
      <w:r w:rsidRPr="004560CD">
        <w:rPr>
          <w:lang w:val="fr-FR" w:eastAsia="fr-FR"/>
        </w:rPr>
        <w:t> </w:t>
      </w:r>
      <w:hyperlink r:id="rId29" w:anchor="{&quot;appno&quot;:[&quot;19583/92&quot;]}" w:tgtFrame="_blank" w:history="1">
        <w:r w:rsidRPr="004560CD">
          <w:rPr>
            <w:lang w:val="fr-FR" w:eastAsia="fr-FR"/>
          </w:rPr>
          <w:t>19583/92</w:t>
        </w:r>
      </w:hyperlink>
      <w:r w:rsidRPr="004560CD">
        <w:rPr>
          <w:lang w:val="fr-FR" w:eastAsia="fr-FR"/>
        </w:rPr>
        <w:t>, décision de la Commission du 20</w:t>
      </w:r>
      <w:r w:rsidR="00A6733D" w:rsidRPr="004560CD">
        <w:rPr>
          <w:lang w:val="fr-FR" w:eastAsia="fr-FR"/>
        </w:rPr>
        <w:t> </w:t>
      </w:r>
      <w:r w:rsidRPr="004560CD">
        <w:rPr>
          <w:lang w:val="fr-FR" w:eastAsia="fr-FR"/>
        </w:rPr>
        <w:t>février</w:t>
      </w:r>
      <w:r w:rsidR="00A6733D" w:rsidRPr="004560CD">
        <w:rPr>
          <w:lang w:val="fr-FR" w:eastAsia="fr-FR"/>
        </w:rPr>
        <w:t> </w:t>
      </w:r>
      <w:r w:rsidRPr="004560CD">
        <w:rPr>
          <w:lang w:val="fr-FR" w:eastAsia="fr-FR"/>
        </w:rPr>
        <w:t>1995, DR 80</w:t>
      </w:r>
      <w:r w:rsidRPr="004560CD">
        <w:rPr>
          <w:lang w:val="fr-FR" w:eastAsia="fr-FR"/>
        </w:rPr>
        <w:noBreakHyphen/>
        <w:t xml:space="preserve">A, p. 38, et </w:t>
      </w:r>
      <w:r w:rsidRPr="004560CD">
        <w:rPr>
          <w:i/>
          <w:lang w:val="fr-FR" w:eastAsia="fr-FR"/>
        </w:rPr>
        <w:t>Marangos c. Chypre,</w:t>
      </w:r>
      <w:r w:rsidRPr="004560CD">
        <w:rPr>
          <w:lang w:val="fr-FR" w:eastAsia="fr-FR"/>
        </w:rPr>
        <w:t xml:space="preserve"> n</w:t>
      </w:r>
      <w:r w:rsidRPr="004560CD">
        <w:rPr>
          <w:vertAlign w:val="superscript"/>
          <w:lang w:val="fr-FR" w:eastAsia="fr-FR"/>
        </w:rPr>
        <w:t>o</w:t>
      </w:r>
      <w:r w:rsidRPr="004560CD">
        <w:rPr>
          <w:lang w:val="fr-FR" w:eastAsia="fr-FR"/>
        </w:rPr>
        <w:t> </w:t>
      </w:r>
      <w:hyperlink r:id="rId30" w:anchor="{&quot;appno&quot;:[&quot;31106/96&quot;]}" w:tgtFrame="_blank" w:history="1">
        <w:r w:rsidRPr="004560CD">
          <w:rPr>
            <w:lang w:val="fr-FR" w:eastAsia="fr-FR"/>
          </w:rPr>
          <w:t>31106/96</w:t>
        </w:r>
      </w:hyperlink>
      <w:r w:rsidRPr="004560CD">
        <w:rPr>
          <w:lang w:val="fr-FR" w:eastAsia="fr-FR"/>
        </w:rPr>
        <w:t>, décision de la Commission du 20 mai 1997, non publiée)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de la maladie mentale de l</w:t>
      </w:r>
      <w:r w:rsidR="004560CD" w:rsidRPr="004560CD">
        <w:rPr>
          <w:lang w:val="fr-FR" w:eastAsia="fr-FR"/>
        </w:rPr>
        <w:t>’</w:t>
      </w:r>
      <w:r w:rsidRPr="004560CD">
        <w:rPr>
          <w:lang w:val="fr-FR" w:eastAsia="fr-FR"/>
        </w:rPr>
        <w:t>intéressé, associée à l</w:t>
      </w:r>
      <w:r w:rsidR="004560CD" w:rsidRPr="004560CD">
        <w:rPr>
          <w:lang w:val="fr-FR" w:eastAsia="fr-FR"/>
        </w:rPr>
        <w:t>’</w:t>
      </w:r>
      <w:r w:rsidRPr="004560CD">
        <w:rPr>
          <w:lang w:val="fr-FR" w:eastAsia="fr-FR"/>
        </w:rPr>
        <w:t>absence de dispositif permettant sa prise en charge adéquate dans l</w:t>
      </w:r>
      <w:r w:rsidR="004560CD" w:rsidRPr="004560CD">
        <w:rPr>
          <w:lang w:val="fr-FR" w:eastAsia="fr-FR"/>
        </w:rPr>
        <w:t>’</w:t>
      </w:r>
      <w:r w:rsidRPr="004560CD">
        <w:rPr>
          <w:lang w:val="fr-FR" w:eastAsia="fr-FR"/>
        </w:rPr>
        <w:t>État de destination (</w:t>
      </w:r>
      <w:r w:rsidRPr="004560CD">
        <w:rPr>
          <w:i/>
          <w:lang w:val="fr-FR" w:eastAsia="fr-FR"/>
        </w:rPr>
        <w:t>Nordblad c.</w:t>
      </w:r>
      <w:r w:rsidR="00A6733D" w:rsidRPr="004560CD">
        <w:rPr>
          <w:i/>
          <w:lang w:val="fr-FR" w:eastAsia="fr-FR"/>
        </w:rPr>
        <w:t> </w:t>
      </w:r>
      <w:r w:rsidRPr="004560CD">
        <w:rPr>
          <w:i/>
          <w:lang w:val="fr-FR" w:eastAsia="fr-FR"/>
        </w:rPr>
        <w:t>Suède</w:t>
      </w:r>
      <w:r w:rsidRPr="004560CD">
        <w:rPr>
          <w:lang w:val="fr-FR" w:eastAsia="fr-FR"/>
        </w:rPr>
        <w:t>, n</w:t>
      </w:r>
      <w:r w:rsidRPr="004560CD">
        <w:rPr>
          <w:vertAlign w:val="superscript"/>
          <w:lang w:val="fr-FR" w:eastAsia="fr-FR"/>
        </w:rPr>
        <w:t>o</w:t>
      </w:r>
      <w:r w:rsidRPr="004560CD">
        <w:rPr>
          <w:lang w:val="fr-FR" w:eastAsia="fr-FR"/>
        </w:rPr>
        <w:t> </w:t>
      </w:r>
      <w:hyperlink r:id="rId31" w:anchor="{&quot;appno&quot;:[&quot;19076/91&quot;]}" w:tgtFrame="_blank" w:history="1">
        <w:r w:rsidRPr="004560CD">
          <w:rPr>
            <w:lang w:val="fr-FR" w:eastAsia="fr-FR"/>
          </w:rPr>
          <w:t>19076/91</w:t>
        </w:r>
      </w:hyperlink>
      <w:r w:rsidRPr="004560CD">
        <w:rPr>
          <w:lang w:val="fr-FR" w:eastAsia="fr-FR"/>
        </w:rPr>
        <w:t>, décision de la Commission du 13 octobre 1993, non publiée) ;</w:t>
      </w:r>
    </w:p>
    <w:p w:rsidR="005A16EE" w:rsidRPr="004560CD" w:rsidRDefault="005A16EE" w:rsidP="004560CD">
      <w:pPr>
        <w:pStyle w:val="ECHRPara"/>
        <w:rPr>
          <w:lang w:val="fr-FR" w:eastAsia="fr-FR"/>
        </w:rPr>
      </w:pPr>
      <w:r w:rsidRPr="004560CD">
        <w:rPr>
          <w:lang w:val="fr-FR" w:eastAsia="fr-FR"/>
        </w:rPr>
        <w:t>–</w:t>
      </w:r>
      <w:r w:rsidR="00F73F0F" w:rsidRPr="004560CD">
        <w:rPr>
          <w:lang w:val="fr-FR" w:eastAsia="fr-FR"/>
        </w:rPr>
        <w:t>  </w:t>
      </w:r>
      <w:r w:rsidRPr="004560CD">
        <w:rPr>
          <w:lang w:val="fr-FR" w:eastAsia="fr-FR"/>
        </w:rPr>
        <w:t>d</w:t>
      </w:r>
      <w:r w:rsidR="004560CD" w:rsidRPr="004560CD">
        <w:rPr>
          <w:lang w:val="fr-FR" w:eastAsia="fr-FR"/>
        </w:rPr>
        <w:t>’</w:t>
      </w:r>
      <w:r w:rsidRPr="004560CD">
        <w:rPr>
          <w:lang w:val="fr-FR" w:eastAsia="fr-FR"/>
        </w:rPr>
        <w:t>une décision judiciaire interdisant d</w:t>
      </w:r>
      <w:r w:rsidR="004560CD" w:rsidRPr="004560CD">
        <w:rPr>
          <w:lang w:val="fr-FR" w:eastAsia="fr-FR"/>
        </w:rPr>
        <w:t>’</w:t>
      </w:r>
      <w:r w:rsidRPr="004560CD">
        <w:rPr>
          <w:lang w:val="fr-FR" w:eastAsia="fr-FR"/>
        </w:rPr>
        <w:t>emmener un enfant mineur à l</w:t>
      </w:r>
      <w:r w:rsidR="004560CD" w:rsidRPr="004560CD">
        <w:rPr>
          <w:lang w:val="fr-FR" w:eastAsia="fr-FR"/>
        </w:rPr>
        <w:t>’</w:t>
      </w:r>
      <w:r w:rsidRPr="004560CD">
        <w:rPr>
          <w:lang w:val="fr-FR" w:eastAsia="fr-FR"/>
        </w:rPr>
        <w:t>étranger (</w:t>
      </w:r>
      <w:r w:rsidRPr="004560CD">
        <w:rPr>
          <w:i/>
          <w:lang w:val="fr-FR" w:eastAsia="fr-FR"/>
        </w:rPr>
        <w:t>Roldan Texeira et autres c. Italie</w:t>
      </w:r>
      <w:r w:rsidRPr="004560CD">
        <w:rPr>
          <w:lang w:val="fr-FR" w:eastAsia="fr-FR"/>
        </w:rPr>
        <w:t xml:space="preserve"> (déc.), n</w:t>
      </w:r>
      <w:r w:rsidRPr="004560CD">
        <w:rPr>
          <w:vertAlign w:val="superscript"/>
          <w:lang w:val="fr-FR" w:eastAsia="fr-FR"/>
        </w:rPr>
        <w:t>o</w:t>
      </w:r>
      <w:r w:rsidRPr="004560CD">
        <w:rPr>
          <w:lang w:val="fr-FR" w:eastAsia="fr-FR"/>
        </w:rPr>
        <w:t> </w:t>
      </w:r>
      <w:hyperlink r:id="rId32" w:anchor="{&quot;appno&quot;:[&quot;40655/98&quot;]}" w:tgtFrame="_blank" w:history="1">
        <w:r w:rsidRPr="004560CD">
          <w:rPr>
            <w:lang w:val="fr-FR" w:eastAsia="fr-FR"/>
          </w:rPr>
          <w:t>40655/98</w:t>
        </w:r>
      </w:hyperlink>
      <w:r w:rsidRPr="004560CD">
        <w:rPr>
          <w:lang w:val="fr-FR" w:eastAsia="fr-FR"/>
        </w:rPr>
        <w:t>, 26</w:t>
      </w:r>
      <w:r w:rsidR="00A6733D" w:rsidRPr="004560CD">
        <w:rPr>
          <w:lang w:val="fr-FR" w:eastAsia="fr-FR"/>
        </w:rPr>
        <w:t> </w:t>
      </w:r>
      <w:r w:rsidRPr="004560CD">
        <w:rPr>
          <w:lang w:val="fr-FR" w:eastAsia="fr-FR"/>
        </w:rPr>
        <w:t xml:space="preserve">octobre 2000, et </w:t>
      </w:r>
      <w:r w:rsidRPr="004560CD">
        <w:rPr>
          <w:i/>
          <w:lang w:val="fr-FR" w:eastAsia="fr-FR"/>
        </w:rPr>
        <w:t>Diamante et Pelliccioni c. Saint-Marin</w:t>
      </w:r>
      <w:r w:rsidRPr="004560CD">
        <w:rPr>
          <w:lang w:val="fr-FR" w:eastAsia="fr-FR"/>
        </w:rPr>
        <w:t>, n</w:t>
      </w:r>
      <w:r w:rsidRPr="004560CD">
        <w:rPr>
          <w:vertAlign w:val="superscript"/>
          <w:lang w:val="fr-FR" w:eastAsia="fr-FR"/>
        </w:rPr>
        <w:t>o</w:t>
      </w:r>
      <w:r w:rsidRPr="004560CD">
        <w:rPr>
          <w:lang w:val="fr-FR" w:eastAsia="fr-FR"/>
        </w:rPr>
        <w:t> </w:t>
      </w:r>
      <w:hyperlink r:id="rId33" w:anchor="{&quot;appno&quot;:[&quot;32250/08&quot;]}" w:tgtFrame="_blank" w:history="1">
        <w:r w:rsidRPr="004560CD">
          <w:rPr>
            <w:lang w:val="fr-FR" w:eastAsia="fr-FR"/>
          </w:rPr>
          <w:t>32250/08</w:t>
        </w:r>
      </w:hyperlink>
      <w:r w:rsidRPr="004560CD">
        <w:rPr>
          <w:lang w:val="fr-FR" w:eastAsia="fr-FR"/>
        </w:rPr>
        <w:t>, 27</w:t>
      </w:r>
      <w:r w:rsidR="00A6733D" w:rsidRPr="004560CD">
        <w:rPr>
          <w:lang w:val="fr-FR" w:eastAsia="fr-FR"/>
        </w:rPr>
        <w:t> </w:t>
      </w:r>
      <w:r w:rsidRPr="004560CD">
        <w:rPr>
          <w:lang w:val="fr-FR" w:eastAsia="fr-FR"/>
        </w:rPr>
        <w:t>septembre</w:t>
      </w:r>
      <w:r w:rsidR="00A6733D" w:rsidRPr="004560CD">
        <w:rPr>
          <w:lang w:val="fr-FR" w:eastAsia="fr-FR"/>
        </w:rPr>
        <w:t> </w:t>
      </w:r>
      <w:r w:rsidRPr="004560CD">
        <w:rPr>
          <w:lang w:val="fr-FR" w:eastAsia="fr-FR"/>
        </w:rPr>
        <w:t>2011) ;</w:t>
      </w:r>
    </w:p>
    <w:p w:rsidR="005A16EE" w:rsidRPr="004560CD" w:rsidRDefault="005A16EE" w:rsidP="004560CD">
      <w:pPr>
        <w:pStyle w:val="ECHRPara"/>
        <w:rPr>
          <w:i/>
          <w:lang w:val="fr-FR" w:eastAsia="fr-FR"/>
        </w:rPr>
      </w:pPr>
      <w:r w:rsidRPr="004560CD">
        <w:rPr>
          <w:lang w:val="fr-FR" w:eastAsia="fr-FR"/>
        </w:rPr>
        <w:t>–</w:t>
      </w:r>
      <w:r w:rsidR="00F73F0F" w:rsidRPr="004560CD">
        <w:rPr>
          <w:lang w:val="fr-FR" w:eastAsia="fr-FR"/>
        </w:rPr>
        <w:t>  </w:t>
      </w:r>
      <w:r w:rsidRPr="004560CD">
        <w:rPr>
          <w:rFonts w:asciiTheme="majorHAnsi" w:hAnsiTheme="majorHAnsi" w:cstheme="majorHAnsi"/>
          <w:lang w:val="fr-FR" w:eastAsia="fr-FR"/>
        </w:rPr>
        <w:t>de l</w:t>
      </w:r>
      <w:r w:rsidR="004560CD" w:rsidRPr="004560CD">
        <w:rPr>
          <w:rFonts w:asciiTheme="majorHAnsi" w:hAnsiTheme="majorHAnsi" w:cstheme="majorHAnsi"/>
          <w:lang w:val="fr-FR" w:eastAsia="fr-FR"/>
        </w:rPr>
        <w:t>’</w:t>
      </w:r>
      <w:r w:rsidRPr="004560CD">
        <w:rPr>
          <w:rFonts w:asciiTheme="majorHAnsi" w:eastAsia="Times New Roman" w:hAnsiTheme="majorHAnsi" w:cstheme="majorHAnsi"/>
          <w:szCs w:val="24"/>
          <w:lang w:val="fr-FR" w:eastAsia="fr-FR"/>
        </w:rPr>
        <w:t>interdiction faite à un Bulgare de quitter le territoire national pendant deux ans pour avoir violé les lois des États-Unis en matière d</w:t>
      </w:r>
      <w:r w:rsidR="004560CD" w:rsidRPr="004560CD">
        <w:rPr>
          <w:rFonts w:asciiTheme="majorHAnsi" w:eastAsia="Times New Roman" w:hAnsiTheme="majorHAnsi" w:cstheme="majorHAnsi"/>
          <w:szCs w:val="24"/>
          <w:lang w:val="fr-FR" w:eastAsia="fr-FR"/>
        </w:rPr>
        <w:t>’</w:t>
      </w:r>
      <w:r w:rsidRPr="004560CD">
        <w:rPr>
          <w:rFonts w:asciiTheme="majorHAnsi" w:eastAsia="Times New Roman" w:hAnsiTheme="majorHAnsi" w:cstheme="majorHAnsi"/>
          <w:szCs w:val="24"/>
          <w:lang w:val="fr-FR" w:eastAsia="fr-FR"/>
        </w:rPr>
        <w:t>immigration (</w:t>
      </w:r>
      <w:r w:rsidRPr="004560CD">
        <w:rPr>
          <w:i/>
          <w:lang w:val="fr-FR" w:eastAsia="fr-FR"/>
        </w:rPr>
        <w:t>Stamose c. Bulgarie</w:t>
      </w:r>
      <w:r w:rsidRPr="004560CD">
        <w:rPr>
          <w:lang w:val="fr-FR" w:eastAsia="fr-FR"/>
        </w:rPr>
        <w:t>, n</w:t>
      </w:r>
      <w:r w:rsidRPr="004560CD">
        <w:rPr>
          <w:vertAlign w:val="superscript"/>
          <w:lang w:val="fr-FR" w:eastAsia="fr-FR"/>
        </w:rPr>
        <w:t>o</w:t>
      </w:r>
      <w:r w:rsidRPr="004560CD">
        <w:rPr>
          <w:lang w:val="fr-FR" w:eastAsia="fr-FR"/>
        </w:rPr>
        <w:t> 29713/05,</w:t>
      </w:r>
      <w:r w:rsidRPr="004560CD">
        <w:rPr>
          <w:snapToGrid w:val="0"/>
          <w:lang w:val="fr-FR" w:eastAsia="fr-FR"/>
        </w:rPr>
        <w:t xml:space="preserve"> CEDH 2012).</w:t>
      </w:r>
    </w:p>
    <w:p w:rsidR="005A16EE" w:rsidRPr="004560CD" w:rsidRDefault="005A16EE" w:rsidP="004560CD">
      <w:pPr>
        <w:pStyle w:val="ECHRPara"/>
        <w:rPr>
          <w:rFonts w:eastAsia="Calibri"/>
          <w:lang w:val="fr-FR" w:eastAsia="fr-FR"/>
        </w:rPr>
      </w:pPr>
      <w:r w:rsidRPr="004560CD">
        <w:rPr>
          <w:rFonts w:eastAsia="Calibri"/>
          <w:lang w:val="fr-FR" w:eastAsia="fr-FR"/>
        </w:rPr>
        <w:t>La Cour considère que malgré les différences entre ces affaires et la présente, les mêmes principes sont ici applicables.</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37</w:t>
      </w:r>
      <w:r w:rsidRPr="004560CD">
        <w:rPr>
          <w:rFonts w:eastAsia="Calibri"/>
          <w:lang w:val="fr-FR" w:eastAsia="fr-FR"/>
        </w:rPr>
        <w:fldChar w:fldCharType="end"/>
      </w:r>
      <w:r w:rsidRPr="004560CD">
        <w:rPr>
          <w:rFonts w:eastAsia="Calibri"/>
          <w:lang w:val="fr-FR" w:eastAsia="fr-FR"/>
        </w:rPr>
        <w:t>.  L</w:t>
      </w:r>
      <w:r w:rsidR="004560CD" w:rsidRPr="004560CD">
        <w:rPr>
          <w:rFonts w:eastAsia="Calibri"/>
          <w:lang w:val="fr-FR" w:eastAsia="fr-FR"/>
        </w:rPr>
        <w:t>’</w:t>
      </w:r>
      <w:r w:rsidRPr="004560CD">
        <w:rPr>
          <w:rFonts w:eastAsia="Calibri"/>
          <w:lang w:val="fr-FR" w:eastAsia="fr-FR"/>
        </w:rPr>
        <w:t>article 2 § 2 du Protocole n</w:t>
      </w:r>
      <w:r w:rsidRPr="004560CD">
        <w:rPr>
          <w:rFonts w:eastAsia="Calibri"/>
          <w:vertAlign w:val="superscript"/>
          <w:lang w:val="fr-FR" w:eastAsia="fr-FR"/>
        </w:rPr>
        <w:t>o </w:t>
      </w:r>
      <w:r w:rsidRPr="004560CD">
        <w:rPr>
          <w:rFonts w:eastAsia="Calibri"/>
          <w:lang w:val="fr-FR" w:eastAsia="fr-FR"/>
        </w:rPr>
        <w:t>4 garantit à toute personne le droit de quitter n</w:t>
      </w:r>
      <w:r w:rsidR="004560CD" w:rsidRPr="004560CD">
        <w:rPr>
          <w:rFonts w:eastAsia="Calibri"/>
          <w:lang w:val="fr-FR" w:eastAsia="fr-FR"/>
        </w:rPr>
        <w:t>’</w:t>
      </w:r>
      <w:r w:rsidRPr="004560CD">
        <w:rPr>
          <w:rFonts w:eastAsia="Calibri"/>
          <w:lang w:val="fr-FR" w:eastAsia="fr-FR"/>
        </w:rPr>
        <w:t>importe quel pays pour se rendre dans n</w:t>
      </w:r>
      <w:r w:rsidR="004560CD" w:rsidRPr="004560CD">
        <w:rPr>
          <w:rFonts w:eastAsia="Calibri"/>
          <w:lang w:val="fr-FR" w:eastAsia="fr-FR"/>
        </w:rPr>
        <w:t>’</w:t>
      </w:r>
      <w:r w:rsidRPr="004560CD">
        <w:rPr>
          <w:rFonts w:eastAsia="Calibri"/>
          <w:lang w:val="fr-FR" w:eastAsia="fr-FR"/>
        </w:rPr>
        <w:t>importe quel autre pays de son choix où elle est susceptible d</w:t>
      </w:r>
      <w:r w:rsidR="004560CD" w:rsidRPr="004560CD">
        <w:rPr>
          <w:rFonts w:eastAsia="Calibri"/>
          <w:lang w:val="fr-FR" w:eastAsia="fr-FR"/>
        </w:rPr>
        <w:t>’</w:t>
      </w:r>
      <w:r w:rsidRPr="004560CD">
        <w:rPr>
          <w:rFonts w:eastAsia="Calibri"/>
          <w:lang w:val="fr-FR" w:eastAsia="fr-FR"/>
        </w:rPr>
        <w:t>être admise. Le refus de délivrer un passeport au requérant et l</w:t>
      </w:r>
      <w:r w:rsidR="004560CD" w:rsidRPr="004560CD">
        <w:rPr>
          <w:rFonts w:eastAsia="Calibri"/>
          <w:lang w:val="fr-FR" w:eastAsia="fr-FR"/>
        </w:rPr>
        <w:t>’</w:t>
      </w:r>
      <w:r w:rsidRPr="004560CD">
        <w:rPr>
          <w:rFonts w:eastAsia="Calibri"/>
          <w:lang w:val="fr-FR" w:eastAsia="fr-FR"/>
        </w:rPr>
        <w:t>annulation de sa carte d</w:t>
      </w:r>
      <w:r w:rsidR="004560CD" w:rsidRPr="004560CD">
        <w:rPr>
          <w:rFonts w:eastAsia="Calibri"/>
          <w:lang w:val="fr-FR" w:eastAsia="fr-FR"/>
        </w:rPr>
        <w:t>’</w:t>
      </w:r>
      <w:r w:rsidRPr="004560CD">
        <w:rPr>
          <w:rFonts w:eastAsia="Calibri"/>
          <w:lang w:val="fr-FR" w:eastAsia="fr-FR"/>
        </w:rPr>
        <w:t>identité pour les voyages à l</w:t>
      </w:r>
      <w:r w:rsidR="004560CD" w:rsidRPr="004560CD">
        <w:rPr>
          <w:rFonts w:eastAsia="Calibri"/>
          <w:lang w:val="fr-FR" w:eastAsia="fr-FR"/>
        </w:rPr>
        <w:t>’</w:t>
      </w:r>
      <w:r w:rsidRPr="004560CD">
        <w:rPr>
          <w:rFonts w:eastAsia="Calibri"/>
          <w:lang w:val="fr-FR" w:eastAsia="fr-FR"/>
        </w:rPr>
        <w:t>étranger par les juridictions internes s</w:t>
      </w:r>
      <w:r w:rsidR="004560CD" w:rsidRPr="004560CD">
        <w:rPr>
          <w:rFonts w:eastAsia="Calibri"/>
          <w:lang w:val="fr-FR" w:eastAsia="fr-FR"/>
        </w:rPr>
        <w:t>’</w:t>
      </w:r>
      <w:r w:rsidRPr="004560CD">
        <w:rPr>
          <w:rFonts w:eastAsia="Calibri"/>
          <w:lang w:val="fr-FR" w:eastAsia="fr-FR"/>
        </w:rPr>
        <w:t xml:space="preserve">analysent en une atteinte à ce droit (voir la décision précitée </w:t>
      </w:r>
      <w:r w:rsidRPr="004560CD">
        <w:rPr>
          <w:rFonts w:eastAsia="Calibri"/>
          <w:i/>
          <w:iCs/>
          <w:lang w:val="fr-FR" w:eastAsia="fr-FR"/>
        </w:rPr>
        <w:t>Peltonen</w:t>
      </w:r>
      <w:r w:rsidRPr="004560CD">
        <w:rPr>
          <w:rFonts w:eastAsia="Calibri"/>
          <w:i/>
          <w:lang w:val="fr-FR" w:eastAsia="fr-FR"/>
        </w:rPr>
        <w:t>,</w:t>
      </w:r>
      <w:r w:rsidRPr="004560CD">
        <w:rPr>
          <w:rFonts w:eastAsia="Calibri"/>
          <w:lang w:val="fr-FR" w:eastAsia="fr-FR"/>
        </w:rPr>
        <w:t xml:space="preserve"> p. 43, et les arrêts précités </w:t>
      </w:r>
      <w:r w:rsidRPr="004560CD">
        <w:rPr>
          <w:rFonts w:eastAsia="Calibri"/>
          <w:i/>
          <w:iCs/>
          <w:lang w:val="fr-FR" w:eastAsia="fr-FR"/>
        </w:rPr>
        <w:t>Baumann</w:t>
      </w:r>
      <w:r w:rsidRPr="004560CD">
        <w:rPr>
          <w:rFonts w:eastAsia="Calibri"/>
          <w:i/>
          <w:lang w:val="fr-FR" w:eastAsia="fr-FR"/>
        </w:rPr>
        <w:t>,</w:t>
      </w:r>
      <w:r w:rsidRPr="004560CD">
        <w:rPr>
          <w:rFonts w:eastAsia="Calibri"/>
          <w:lang w:val="fr-FR" w:eastAsia="fr-FR"/>
        </w:rPr>
        <w:t xml:space="preserve"> §§ 62-63, </w:t>
      </w:r>
      <w:r w:rsidRPr="004560CD">
        <w:rPr>
          <w:rFonts w:eastAsia="Calibri"/>
          <w:i/>
          <w:iCs/>
          <w:lang w:val="fr-FR" w:eastAsia="fr-FR"/>
        </w:rPr>
        <w:t>Napijalo</w:t>
      </w:r>
      <w:r w:rsidRPr="004560CD">
        <w:rPr>
          <w:rFonts w:eastAsia="Calibri"/>
          <w:i/>
          <w:lang w:val="fr-FR" w:eastAsia="fr-FR"/>
        </w:rPr>
        <w:t>,</w:t>
      </w:r>
      <w:r w:rsidRPr="004560CD">
        <w:rPr>
          <w:rFonts w:eastAsia="Calibri"/>
          <w:lang w:val="fr-FR" w:eastAsia="fr-FR"/>
        </w:rPr>
        <w:t xml:space="preserve"> §§ 69-73, et </w:t>
      </w:r>
      <w:r w:rsidRPr="004560CD">
        <w:rPr>
          <w:rFonts w:eastAsia="Calibri"/>
          <w:i/>
          <w:iCs/>
          <w:lang w:val="fr-FR" w:eastAsia="fr-FR"/>
        </w:rPr>
        <w:t>Nalbantski</w:t>
      </w:r>
      <w:r w:rsidRPr="004560CD">
        <w:rPr>
          <w:rFonts w:eastAsia="Calibri"/>
          <w:i/>
          <w:lang w:val="fr-FR" w:eastAsia="fr-FR"/>
        </w:rPr>
        <w:t>,</w:t>
      </w:r>
      <w:r w:rsidRPr="004560CD">
        <w:rPr>
          <w:rFonts w:eastAsia="Calibri"/>
          <w:lang w:val="fr-FR" w:eastAsia="fr-FR"/>
        </w:rPr>
        <w:t xml:space="preserve"> § 61). Dès lors, il convient de déterminer si cette atteinte était « prévue par la loi », poursuivait un ou plusieurs des buts légitimes définis à l</w:t>
      </w:r>
      <w:r w:rsidR="004560CD" w:rsidRPr="004560CD">
        <w:rPr>
          <w:rFonts w:eastAsia="Calibri"/>
          <w:lang w:val="fr-FR" w:eastAsia="fr-FR"/>
        </w:rPr>
        <w:t>’</w:t>
      </w:r>
      <w:r w:rsidRPr="004560CD">
        <w:rPr>
          <w:rFonts w:eastAsia="Calibri"/>
          <w:lang w:val="fr-FR" w:eastAsia="fr-FR"/>
        </w:rPr>
        <w:t>article 2 §  3 du Protocole n</w:t>
      </w:r>
      <w:r w:rsidRPr="004560CD">
        <w:rPr>
          <w:rFonts w:eastAsia="Calibri"/>
          <w:vertAlign w:val="superscript"/>
          <w:lang w:val="fr-FR" w:eastAsia="fr-FR"/>
        </w:rPr>
        <w:t>o </w:t>
      </w:r>
      <w:r w:rsidRPr="004560CD">
        <w:rPr>
          <w:rFonts w:eastAsia="Calibri"/>
          <w:lang w:val="fr-FR" w:eastAsia="fr-FR"/>
        </w:rPr>
        <w:t>4, et si elle était « nécessaire dans une société démocratique  » à la réalisation de ce ou ces buts.</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38</w:t>
      </w:r>
      <w:r w:rsidRPr="004560CD">
        <w:rPr>
          <w:rFonts w:eastAsia="Calibri"/>
          <w:lang w:val="fr-FR" w:eastAsia="fr-FR"/>
        </w:rPr>
        <w:fldChar w:fldCharType="end"/>
      </w:r>
      <w:r w:rsidRPr="004560CD">
        <w:rPr>
          <w:rFonts w:eastAsia="Calibri"/>
          <w:lang w:val="fr-FR" w:eastAsia="fr-FR"/>
        </w:rPr>
        <w:t>.  En ce qui concerne la légalité de cette mesure, la Cour rappelle sa jurisprudence constante selon laquelle l</w:t>
      </w:r>
      <w:r w:rsidR="004560CD" w:rsidRPr="004560CD">
        <w:rPr>
          <w:rFonts w:eastAsia="Calibri"/>
          <w:lang w:val="fr-FR" w:eastAsia="fr-FR"/>
        </w:rPr>
        <w:t>’</w:t>
      </w:r>
      <w:r w:rsidRPr="004560CD">
        <w:rPr>
          <w:rFonts w:eastAsia="Calibri"/>
          <w:lang w:val="fr-FR" w:eastAsia="fr-FR"/>
        </w:rPr>
        <w:t>expression « prévue par la loi » non seulement impose que la mesure incriminée ait une base en droit interne, mais vise aussi la qualité de la loi en cause : celle-ci doit être accessible au justiciable et prévisible quant à ses effets (</w:t>
      </w:r>
      <w:r w:rsidRPr="004560CD">
        <w:rPr>
          <w:rFonts w:eastAsia="Calibri"/>
          <w:i/>
          <w:iCs/>
          <w:lang w:val="fr-FR" w:eastAsia="fr-FR"/>
        </w:rPr>
        <w:t>Rotaru c. Roumanie</w:t>
      </w:r>
      <w:r w:rsidRPr="004560CD">
        <w:rPr>
          <w:rFonts w:eastAsia="Calibri"/>
          <w:lang w:val="fr-FR" w:eastAsia="fr-FR"/>
        </w:rPr>
        <w:t xml:space="preserve"> [GC], n</w:t>
      </w:r>
      <w:r w:rsidRPr="004560CD">
        <w:rPr>
          <w:rFonts w:eastAsia="Calibri"/>
          <w:vertAlign w:val="superscript"/>
          <w:lang w:val="fr-FR" w:eastAsia="fr-FR"/>
        </w:rPr>
        <w:t>o</w:t>
      </w:r>
      <w:r w:rsidRPr="004560CD">
        <w:rPr>
          <w:rFonts w:eastAsia="Calibri"/>
          <w:lang w:val="fr-FR" w:eastAsia="fr-FR"/>
        </w:rPr>
        <w:t> </w:t>
      </w:r>
      <w:hyperlink r:id="rId34" w:anchor="{" w:history="1">
        <w:r w:rsidRPr="004560CD">
          <w:rPr>
            <w:rFonts w:eastAsia="Calibri"/>
            <w:lang w:val="fr-FR" w:eastAsia="fr-FR"/>
          </w:rPr>
          <w:t>28341/95</w:t>
        </w:r>
      </w:hyperlink>
      <w:r w:rsidRPr="004560CD">
        <w:rPr>
          <w:rFonts w:eastAsia="Calibri"/>
          <w:lang w:val="fr-FR" w:eastAsia="fr-FR"/>
        </w:rPr>
        <w:t>, § 52, CEDH 2000-V). Afin que la loi satisfasse à la condition de prévisibilité, elle doit énoncer avec suffisamment de précision les conditions dans lesquelles une mesure peut être appliquée, et ce pour permettre aux personnes concernées de régler leur conduite en s</w:t>
      </w:r>
      <w:r w:rsidR="004560CD" w:rsidRPr="004560CD">
        <w:rPr>
          <w:rFonts w:eastAsia="Calibri"/>
          <w:lang w:val="fr-FR" w:eastAsia="fr-FR"/>
        </w:rPr>
        <w:t>’</w:t>
      </w:r>
      <w:r w:rsidRPr="004560CD">
        <w:rPr>
          <w:rFonts w:eastAsia="Calibri"/>
          <w:lang w:val="fr-FR" w:eastAsia="fr-FR"/>
        </w:rPr>
        <w:t>entourant au besoin de conseils éclairés.</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39</w:t>
      </w:r>
      <w:r w:rsidRPr="004560CD">
        <w:rPr>
          <w:rFonts w:eastAsia="Calibri"/>
          <w:lang w:val="fr-FR" w:eastAsia="fr-FR"/>
        </w:rPr>
        <w:fldChar w:fldCharType="end"/>
      </w:r>
      <w:r w:rsidRPr="004560CD">
        <w:rPr>
          <w:rFonts w:eastAsia="Calibri"/>
          <w:lang w:val="fr-FR" w:eastAsia="fr-FR"/>
        </w:rPr>
        <w:t>.  Comme le souligne le Gouvernement, l</w:t>
      </w:r>
      <w:r w:rsidR="004560CD" w:rsidRPr="004560CD">
        <w:rPr>
          <w:rFonts w:eastAsia="Calibri"/>
          <w:lang w:val="fr-FR" w:eastAsia="fr-FR"/>
        </w:rPr>
        <w:t>’</w:t>
      </w:r>
      <w:r w:rsidRPr="004560CD">
        <w:rPr>
          <w:rFonts w:eastAsia="Calibri"/>
          <w:lang w:val="fr-FR" w:eastAsia="fr-FR"/>
        </w:rPr>
        <w:t>ingérence reposait sur l</w:t>
      </w:r>
      <w:r w:rsidR="004560CD" w:rsidRPr="004560CD">
        <w:rPr>
          <w:rFonts w:eastAsia="Calibri"/>
          <w:lang w:val="fr-FR" w:eastAsia="fr-FR"/>
        </w:rPr>
        <w:t>’</w:t>
      </w:r>
      <w:r w:rsidRPr="004560CD">
        <w:rPr>
          <w:rFonts w:eastAsia="Calibri"/>
          <w:lang w:val="fr-FR" w:eastAsia="fr-FR"/>
        </w:rPr>
        <w:t>article 12 de la loi sur les passeports du 21 novembre 1967 (n</w:t>
      </w:r>
      <w:r w:rsidRPr="004560CD">
        <w:rPr>
          <w:rFonts w:eastAsia="Calibri"/>
          <w:vertAlign w:val="superscript"/>
          <w:lang w:val="fr-FR" w:eastAsia="fr-FR"/>
        </w:rPr>
        <w:t>o </w:t>
      </w:r>
      <w:r w:rsidRPr="004560CD">
        <w:rPr>
          <w:rFonts w:eastAsia="Calibri"/>
          <w:lang w:val="fr-FR" w:eastAsia="fr-FR"/>
        </w:rPr>
        <w:t>1185), telle que modifiée par la loi n</w:t>
      </w:r>
      <w:r w:rsidRPr="004560CD">
        <w:rPr>
          <w:rFonts w:eastAsia="Calibri"/>
          <w:vertAlign w:val="superscript"/>
          <w:lang w:val="fr-FR" w:eastAsia="fr-FR"/>
        </w:rPr>
        <w:t>o </w:t>
      </w:r>
      <w:r w:rsidRPr="004560CD">
        <w:rPr>
          <w:rFonts w:eastAsia="Calibri"/>
          <w:lang w:val="fr-FR" w:eastAsia="fr-FR"/>
        </w:rPr>
        <w:t>3 de 2003, en relation avec le fait que le requérant ne s</w:t>
      </w:r>
      <w:r w:rsidR="004560CD" w:rsidRPr="004560CD">
        <w:rPr>
          <w:rFonts w:eastAsia="Calibri"/>
          <w:lang w:val="fr-FR" w:eastAsia="fr-FR"/>
        </w:rPr>
        <w:t>’</w:t>
      </w:r>
      <w:r w:rsidRPr="004560CD">
        <w:rPr>
          <w:rFonts w:eastAsia="Calibri"/>
          <w:lang w:val="fr-FR" w:eastAsia="fr-FR"/>
        </w:rPr>
        <w:t>acquittait pas de la pension alimentaire qu</w:t>
      </w:r>
      <w:r w:rsidR="004560CD" w:rsidRPr="004560CD">
        <w:rPr>
          <w:rFonts w:eastAsia="Calibri"/>
          <w:lang w:val="fr-FR" w:eastAsia="fr-FR"/>
        </w:rPr>
        <w:t>’</w:t>
      </w:r>
      <w:r w:rsidRPr="004560CD">
        <w:rPr>
          <w:rFonts w:eastAsia="Calibri"/>
          <w:lang w:val="fr-FR" w:eastAsia="fr-FR"/>
        </w:rPr>
        <w:t>il était tenu de verser à l</w:t>
      </w:r>
      <w:r w:rsidR="004560CD" w:rsidRPr="004560CD">
        <w:rPr>
          <w:rFonts w:eastAsia="Calibri"/>
          <w:lang w:val="fr-FR" w:eastAsia="fr-FR"/>
        </w:rPr>
        <w:t>’</w:t>
      </w:r>
      <w:r w:rsidRPr="004560CD">
        <w:rPr>
          <w:rFonts w:eastAsia="Calibri"/>
          <w:lang w:val="fr-FR" w:eastAsia="fr-FR"/>
        </w:rPr>
        <w:t>égard de ses enfants. L</w:t>
      </w:r>
      <w:r w:rsidR="004560CD" w:rsidRPr="004560CD">
        <w:rPr>
          <w:rFonts w:eastAsia="Calibri"/>
          <w:lang w:val="fr-FR" w:eastAsia="fr-FR"/>
        </w:rPr>
        <w:t>’</w:t>
      </w:r>
      <w:r w:rsidRPr="004560CD">
        <w:rPr>
          <w:rFonts w:eastAsia="Calibri"/>
          <w:lang w:val="fr-FR" w:eastAsia="fr-FR"/>
        </w:rPr>
        <w:t>ingérence possédait ainsi clairement une base légale en droit interne. A cet égard, la Cour note également que la Cour constitutionnelle, dans son arrêt n</w:t>
      </w:r>
      <w:r w:rsidRPr="004560CD">
        <w:rPr>
          <w:rFonts w:eastAsia="Calibri"/>
          <w:vertAlign w:val="superscript"/>
          <w:lang w:val="fr-FR" w:eastAsia="fr-FR"/>
        </w:rPr>
        <w:t>o</w:t>
      </w:r>
      <w:r w:rsidRPr="004560CD">
        <w:rPr>
          <w:rFonts w:eastAsia="Calibri"/>
          <w:lang w:val="fr-FR" w:eastAsia="fr-FR"/>
        </w:rPr>
        <w:t>0464 de 1997, a affirmé que l</w:t>
      </w:r>
      <w:r w:rsidR="004560CD" w:rsidRPr="004560CD">
        <w:rPr>
          <w:rFonts w:eastAsia="Calibri"/>
          <w:lang w:val="fr-FR" w:eastAsia="fr-FR"/>
        </w:rPr>
        <w:t>’</w:t>
      </w:r>
      <w:r w:rsidRPr="004560CD">
        <w:rPr>
          <w:rFonts w:eastAsia="Calibri"/>
          <w:lang w:val="fr-FR" w:eastAsia="fr-FR"/>
        </w:rPr>
        <w:t>essence de l</w:t>
      </w:r>
      <w:r w:rsidR="004560CD" w:rsidRPr="004560CD">
        <w:rPr>
          <w:rFonts w:eastAsia="Calibri"/>
          <w:lang w:val="fr-FR" w:eastAsia="fr-FR"/>
        </w:rPr>
        <w:t>’</w:t>
      </w:r>
      <w:r w:rsidRPr="004560CD">
        <w:rPr>
          <w:rFonts w:eastAsia="Calibri"/>
          <w:lang w:val="fr-FR" w:eastAsia="fr-FR"/>
        </w:rPr>
        <w:t>article en question de la loi n</w:t>
      </w:r>
      <w:r w:rsidRPr="004560CD">
        <w:rPr>
          <w:rFonts w:eastAsia="Calibri"/>
          <w:vertAlign w:val="superscript"/>
          <w:lang w:val="fr-FR" w:eastAsia="fr-FR"/>
        </w:rPr>
        <w:t>o </w:t>
      </w:r>
      <w:r w:rsidRPr="004560CD">
        <w:rPr>
          <w:rFonts w:eastAsia="Calibri"/>
          <w:lang w:val="fr-FR" w:eastAsia="fr-FR"/>
        </w:rPr>
        <w:t>1185 de 1967 est de « garantir que le parent remplisse ses obligations à l</w:t>
      </w:r>
      <w:r w:rsidR="004560CD" w:rsidRPr="004560CD">
        <w:rPr>
          <w:rFonts w:eastAsia="Calibri"/>
          <w:lang w:val="fr-FR" w:eastAsia="fr-FR"/>
        </w:rPr>
        <w:t>’</w:t>
      </w:r>
      <w:r w:rsidRPr="004560CD">
        <w:rPr>
          <w:rFonts w:eastAsia="Calibri"/>
          <w:lang w:val="fr-FR" w:eastAsia="fr-FR"/>
        </w:rPr>
        <w:t>égard de ses enfants ».</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40</w:t>
      </w:r>
      <w:r w:rsidRPr="004560CD">
        <w:rPr>
          <w:rFonts w:eastAsia="Calibri"/>
          <w:lang w:val="fr-FR" w:eastAsia="fr-FR"/>
        </w:rPr>
        <w:fldChar w:fldCharType="end"/>
      </w:r>
      <w:r w:rsidRPr="004560CD">
        <w:rPr>
          <w:rFonts w:eastAsia="Calibri"/>
          <w:lang w:val="fr-FR" w:eastAsia="fr-FR"/>
        </w:rPr>
        <w:t>.  La Cour estime également que l</w:t>
      </w:r>
      <w:r w:rsidR="004560CD" w:rsidRPr="004560CD">
        <w:rPr>
          <w:rFonts w:eastAsia="Calibri"/>
          <w:lang w:val="fr-FR" w:eastAsia="fr-FR"/>
        </w:rPr>
        <w:t>’</w:t>
      </w:r>
      <w:r w:rsidRPr="004560CD">
        <w:rPr>
          <w:rFonts w:eastAsia="Calibri"/>
          <w:lang w:val="fr-FR" w:eastAsia="fr-FR"/>
        </w:rPr>
        <w:t>imposition de la mesure en question tend à garantir les intérêts des enfants du requérant et qu</w:t>
      </w:r>
      <w:r w:rsidR="004560CD" w:rsidRPr="004560CD">
        <w:rPr>
          <w:rFonts w:eastAsia="Calibri"/>
          <w:lang w:val="fr-FR" w:eastAsia="fr-FR"/>
        </w:rPr>
        <w:t>’</w:t>
      </w:r>
      <w:r w:rsidRPr="004560CD">
        <w:rPr>
          <w:rFonts w:eastAsia="Calibri"/>
          <w:lang w:val="fr-FR" w:eastAsia="fr-FR"/>
        </w:rPr>
        <w:t>elle poursuit en principe un objectif légitime de protection des droits d</w:t>
      </w:r>
      <w:r w:rsidR="004560CD" w:rsidRPr="004560CD">
        <w:rPr>
          <w:rFonts w:eastAsia="Calibri"/>
          <w:lang w:val="fr-FR" w:eastAsia="fr-FR"/>
        </w:rPr>
        <w:t>’</w:t>
      </w:r>
      <w:r w:rsidRPr="004560CD">
        <w:rPr>
          <w:rFonts w:eastAsia="Calibri"/>
          <w:lang w:val="fr-FR" w:eastAsia="fr-FR"/>
        </w:rPr>
        <w:t>autrui – dans le cas présent, ceux des enfants qui doivent recevoir la pension alimentaire.</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41</w:t>
      </w:r>
      <w:r w:rsidRPr="004560CD">
        <w:rPr>
          <w:rFonts w:eastAsia="Calibri"/>
          <w:lang w:val="fr-FR" w:eastAsia="fr-FR"/>
        </w:rPr>
        <w:fldChar w:fldCharType="end"/>
      </w:r>
      <w:r w:rsidRPr="004560CD">
        <w:rPr>
          <w:rFonts w:eastAsia="Calibri"/>
          <w:lang w:val="fr-FR" w:eastAsia="fr-FR"/>
        </w:rPr>
        <w:t>.  Pour ce qui est de la proportionnalité d</w:t>
      </w:r>
      <w:r w:rsidR="004560CD" w:rsidRPr="004560CD">
        <w:rPr>
          <w:rFonts w:eastAsia="Calibri"/>
          <w:lang w:val="fr-FR" w:eastAsia="fr-FR"/>
        </w:rPr>
        <w:t>’</w:t>
      </w:r>
      <w:r w:rsidRPr="004560CD">
        <w:rPr>
          <w:rFonts w:eastAsia="Calibri"/>
          <w:lang w:val="fr-FR" w:eastAsia="fr-FR"/>
        </w:rPr>
        <w:t>une restriction imposée au motif de dettes impayées, la Cour rappelle que pareille mesure ne se justifie qu</w:t>
      </w:r>
      <w:r w:rsidR="004560CD" w:rsidRPr="004560CD">
        <w:rPr>
          <w:rFonts w:eastAsia="Calibri"/>
          <w:lang w:val="fr-FR" w:eastAsia="fr-FR"/>
        </w:rPr>
        <w:t>’</w:t>
      </w:r>
      <w:r w:rsidRPr="004560CD">
        <w:rPr>
          <w:rFonts w:eastAsia="Calibri"/>
          <w:lang w:val="fr-FR" w:eastAsia="fr-FR"/>
        </w:rPr>
        <w:t>aussi longtemps qu</w:t>
      </w:r>
      <w:r w:rsidR="004560CD" w:rsidRPr="004560CD">
        <w:rPr>
          <w:rFonts w:eastAsia="Calibri"/>
          <w:lang w:val="fr-FR" w:eastAsia="fr-FR"/>
        </w:rPr>
        <w:t>’</w:t>
      </w:r>
      <w:r w:rsidRPr="004560CD">
        <w:rPr>
          <w:rFonts w:eastAsia="Calibri"/>
          <w:lang w:val="fr-FR" w:eastAsia="fr-FR"/>
        </w:rPr>
        <w:t>elle tend à l</w:t>
      </w:r>
      <w:r w:rsidR="004560CD" w:rsidRPr="004560CD">
        <w:rPr>
          <w:rFonts w:eastAsia="Calibri"/>
          <w:lang w:val="fr-FR" w:eastAsia="fr-FR"/>
        </w:rPr>
        <w:t>’</w:t>
      </w:r>
      <w:r w:rsidRPr="004560CD">
        <w:rPr>
          <w:rFonts w:eastAsia="Calibri"/>
          <w:lang w:val="fr-FR" w:eastAsia="fr-FR"/>
        </w:rPr>
        <w:t>objectif poursuivi de garantir le recouvrement des dettes en question (</w:t>
      </w:r>
      <w:r w:rsidRPr="004560CD">
        <w:rPr>
          <w:rFonts w:eastAsia="Calibri"/>
          <w:i/>
          <w:iCs/>
          <w:lang w:val="fr-FR" w:eastAsia="fr-FR"/>
        </w:rPr>
        <w:t>Napijalo</w:t>
      </w:r>
      <w:r w:rsidRPr="004560CD">
        <w:rPr>
          <w:rFonts w:eastAsia="Calibri"/>
          <w:i/>
          <w:lang w:val="fr-FR" w:eastAsia="fr-FR"/>
        </w:rPr>
        <w:t>,</w:t>
      </w:r>
      <w:r w:rsidRPr="004560CD">
        <w:rPr>
          <w:rFonts w:eastAsia="Calibri"/>
          <w:lang w:val="fr-FR" w:eastAsia="fr-FR"/>
        </w:rPr>
        <w:t xml:space="preserve"> précité, §§ 78 à 82</w:t>
      </w:r>
      <w:r w:rsidRPr="004560CD">
        <w:rPr>
          <w:rFonts w:eastAsia="Calibri"/>
          <w:vanish/>
          <w:lang w:val="fr-FR" w:eastAsia="fr-FR"/>
        </w:rPr>
        <w:t>, 13</w:t>
      </w:r>
      <w:r w:rsidR="00C60E8B" w:rsidRPr="004560CD">
        <w:rPr>
          <w:rFonts w:eastAsia="Calibri"/>
          <w:vanish/>
          <w:lang w:val="fr-FR" w:eastAsia="fr-FR"/>
        </w:rPr>
        <w:t> </w:t>
      </w:r>
      <w:r w:rsidRPr="004560CD">
        <w:rPr>
          <w:rFonts w:eastAsia="Calibri"/>
          <w:vanish/>
          <w:lang w:val="fr-FR" w:eastAsia="fr-FR"/>
        </w:rPr>
        <w:t>novembre</w:t>
      </w:r>
      <w:r w:rsidR="00C60E8B" w:rsidRPr="004560CD">
        <w:rPr>
          <w:rFonts w:eastAsia="Calibri"/>
          <w:vanish/>
          <w:lang w:val="fr-FR" w:eastAsia="fr-FR"/>
        </w:rPr>
        <w:t> </w:t>
      </w:r>
      <w:r w:rsidRPr="004560CD">
        <w:rPr>
          <w:rFonts w:eastAsia="Calibri"/>
          <w:vanish/>
          <w:lang w:val="fr-FR" w:eastAsia="fr-FR"/>
        </w:rPr>
        <w:t>2003</w:t>
      </w:r>
      <w:r w:rsidRPr="004560CD">
        <w:rPr>
          <w:rFonts w:eastAsia="Calibri"/>
          <w:lang w:val="fr-FR" w:eastAsia="fr-FR"/>
        </w:rPr>
        <w:t>). Par ailleurs, fût-elle justifiée au départ, une mesure restreignant la liberté de circulation d</w:t>
      </w:r>
      <w:r w:rsidR="004560CD" w:rsidRPr="004560CD">
        <w:rPr>
          <w:rFonts w:eastAsia="Calibri"/>
          <w:lang w:val="fr-FR" w:eastAsia="fr-FR"/>
        </w:rPr>
        <w:t>’</w:t>
      </w:r>
      <w:r w:rsidRPr="004560CD">
        <w:rPr>
          <w:rFonts w:eastAsia="Calibri"/>
          <w:lang w:val="fr-FR" w:eastAsia="fr-FR"/>
        </w:rPr>
        <w:t>une personne peut devenir disproportionnée et violer les droits de cette personne si elle se prolonge automatiquement pendant longtemps (</w:t>
      </w:r>
      <w:r w:rsidRPr="004560CD">
        <w:rPr>
          <w:rFonts w:eastAsia="Calibri"/>
          <w:i/>
          <w:iCs/>
          <w:lang w:val="fr-FR" w:eastAsia="fr-FR"/>
        </w:rPr>
        <w:t>Luordo,</w:t>
      </w:r>
      <w:r w:rsidRPr="004560CD">
        <w:rPr>
          <w:rFonts w:eastAsia="Calibri"/>
          <w:iCs/>
          <w:lang w:val="fr-FR" w:eastAsia="fr-FR"/>
        </w:rPr>
        <w:t xml:space="preserve"> </w:t>
      </w:r>
      <w:r w:rsidRPr="004560CD">
        <w:rPr>
          <w:rFonts w:eastAsia="Calibri"/>
          <w:lang w:val="fr-FR" w:eastAsia="fr-FR"/>
        </w:rPr>
        <w:t xml:space="preserve">précité, § 96, </w:t>
      </w:r>
      <w:r w:rsidRPr="004560CD">
        <w:rPr>
          <w:rFonts w:eastAsia="Calibri"/>
          <w:vanish/>
          <w:lang w:val="fr-FR" w:eastAsia="fr-FR"/>
        </w:rPr>
        <w:t>CEDH</w:t>
      </w:r>
      <w:r w:rsidR="00C60E8B" w:rsidRPr="004560CD">
        <w:rPr>
          <w:rFonts w:eastAsia="Calibri"/>
          <w:vanish/>
          <w:lang w:val="fr-FR" w:eastAsia="fr-FR"/>
        </w:rPr>
        <w:t> </w:t>
      </w:r>
      <w:r w:rsidRPr="004560CD">
        <w:rPr>
          <w:rFonts w:eastAsia="Calibri"/>
          <w:vanish/>
          <w:lang w:val="fr-FR" w:eastAsia="fr-FR"/>
        </w:rPr>
        <w:t>2003-IX,</w:t>
      </w:r>
      <w:r w:rsidRPr="004560CD">
        <w:rPr>
          <w:rFonts w:eastAsia="Calibri"/>
          <w:lang w:val="fr-FR" w:eastAsia="fr-FR"/>
        </w:rPr>
        <w:t xml:space="preserve">et </w:t>
      </w:r>
      <w:r w:rsidRPr="004560CD">
        <w:rPr>
          <w:rFonts w:eastAsia="Calibri"/>
          <w:i/>
          <w:iCs/>
          <w:lang w:val="fr-FR" w:eastAsia="fr-FR"/>
        </w:rPr>
        <w:t>Földes et Földesné Hajlik</w:t>
      </w:r>
      <w:r w:rsidRPr="004560CD">
        <w:rPr>
          <w:rFonts w:eastAsia="Calibri"/>
          <w:iCs/>
          <w:lang w:val="fr-FR" w:eastAsia="fr-FR"/>
        </w:rPr>
        <w:t>,</w:t>
      </w:r>
      <w:r w:rsidRPr="004560CD">
        <w:rPr>
          <w:rFonts w:eastAsia="Calibri"/>
          <w:lang w:val="fr-FR" w:eastAsia="fr-FR"/>
        </w:rPr>
        <w:t xml:space="preserve"> précité, § 35</w:t>
      </w:r>
      <w:r w:rsidRPr="004560CD">
        <w:rPr>
          <w:rFonts w:eastAsia="Calibri"/>
          <w:vanish/>
          <w:lang w:val="fr-FR" w:eastAsia="fr-FR"/>
        </w:rPr>
        <w:t>, CEDH ;</w:t>
      </w:r>
      <w:r w:rsidRPr="004560CD">
        <w:rPr>
          <w:rFonts w:eastAsia="Calibri"/>
          <w:lang w:val="fr-FR" w:eastAsia="fr-FR"/>
        </w:rPr>
        <w:t>)</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42</w:t>
      </w:r>
      <w:r w:rsidRPr="004560CD">
        <w:rPr>
          <w:rFonts w:eastAsia="Calibri"/>
          <w:lang w:val="fr-FR" w:eastAsia="fr-FR"/>
        </w:rPr>
        <w:fldChar w:fldCharType="end"/>
      </w:r>
      <w:r w:rsidRPr="004560CD">
        <w:rPr>
          <w:rFonts w:eastAsia="Calibri"/>
          <w:lang w:val="fr-FR" w:eastAsia="fr-FR"/>
        </w:rPr>
        <w:t>.  En tout état de cause, les autorités internes ont l</w:t>
      </w:r>
      <w:r w:rsidR="004560CD" w:rsidRPr="004560CD">
        <w:rPr>
          <w:rFonts w:eastAsia="Calibri"/>
          <w:lang w:val="fr-FR" w:eastAsia="fr-FR"/>
        </w:rPr>
        <w:t>’</w:t>
      </w:r>
      <w:r w:rsidRPr="004560CD">
        <w:rPr>
          <w:rFonts w:eastAsia="Calibri"/>
          <w:lang w:val="fr-FR" w:eastAsia="fr-FR"/>
        </w:rPr>
        <w:t>obligation de veiller à ce que toute atteinte portée au droit d</w:t>
      </w:r>
      <w:r w:rsidR="004560CD" w:rsidRPr="004560CD">
        <w:rPr>
          <w:rFonts w:eastAsia="Calibri"/>
          <w:lang w:val="fr-FR" w:eastAsia="fr-FR"/>
        </w:rPr>
        <w:t>’</w:t>
      </w:r>
      <w:r w:rsidRPr="004560CD">
        <w:rPr>
          <w:rFonts w:eastAsia="Calibri"/>
          <w:lang w:val="fr-FR" w:eastAsia="fr-FR"/>
        </w:rPr>
        <w:t>une personne de quitter son pays soit, dès le départ et tout au long de sa durée, justifiée et proportionnée au regard des circonstances. Elles ne peuvent prolonger longtemps des mesures restreignant la liberté de circulation d</w:t>
      </w:r>
      <w:r w:rsidR="004560CD" w:rsidRPr="004560CD">
        <w:rPr>
          <w:rFonts w:eastAsia="Calibri"/>
          <w:lang w:val="fr-FR" w:eastAsia="fr-FR"/>
        </w:rPr>
        <w:t>’</w:t>
      </w:r>
      <w:r w:rsidRPr="004560CD">
        <w:rPr>
          <w:rFonts w:eastAsia="Calibri"/>
          <w:lang w:val="fr-FR" w:eastAsia="fr-FR"/>
        </w:rPr>
        <w:t>une personne sans réexaminer périodiquement si elles sont justifiées (</w:t>
      </w:r>
      <w:r w:rsidRPr="004560CD">
        <w:rPr>
          <w:rFonts w:eastAsia="Calibri"/>
          <w:i/>
          <w:iCs/>
          <w:lang w:val="fr-FR" w:eastAsia="fr-FR"/>
        </w:rPr>
        <w:t>Riener</w:t>
      </w:r>
      <w:r w:rsidRPr="004560CD">
        <w:rPr>
          <w:rFonts w:eastAsia="Calibri"/>
          <w:i/>
          <w:lang w:val="fr-FR" w:eastAsia="fr-FR"/>
        </w:rPr>
        <w:t>,</w:t>
      </w:r>
      <w:r w:rsidRPr="004560CD">
        <w:rPr>
          <w:rFonts w:eastAsia="Calibri"/>
          <w:lang w:val="fr-FR" w:eastAsia="fr-FR"/>
        </w:rPr>
        <w:t xml:space="preserve"> précité, § 124, et </w:t>
      </w:r>
      <w:r w:rsidRPr="004560CD">
        <w:rPr>
          <w:rFonts w:eastAsia="Calibri"/>
          <w:i/>
          <w:iCs/>
          <w:lang w:val="fr-FR" w:eastAsia="fr-FR"/>
        </w:rPr>
        <w:t>Földes</w:t>
      </w:r>
      <w:r w:rsidRPr="004560CD">
        <w:rPr>
          <w:rFonts w:eastAsia="Calibri"/>
          <w:i/>
          <w:lang w:val="fr-FR" w:eastAsia="fr-FR"/>
        </w:rPr>
        <w:t xml:space="preserve"> et </w:t>
      </w:r>
      <w:r w:rsidRPr="004560CD">
        <w:rPr>
          <w:rFonts w:eastAsia="Calibri"/>
          <w:i/>
          <w:iCs/>
          <w:lang w:val="fr-FR" w:eastAsia="fr-FR"/>
        </w:rPr>
        <w:t>Földesné Hajlik</w:t>
      </w:r>
      <w:r w:rsidRPr="004560CD">
        <w:rPr>
          <w:rFonts w:eastAsia="Calibri"/>
          <w:iCs/>
          <w:lang w:val="fr-FR" w:eastAsia="fr-FR"/>
        </w:rPr>
        <w:t>,</w:t>
      </w:r>
      <w:r w:rsidRPr="004560CD">
        <w:rPr>
          <w:rFonts w:eastAsia="Calibri"/>
          <w:lang w:val="fr-FR" w:eastAsia="fr-FR"/>
        </w:rPr>
        <w:t xml:space="preserve"> précité, § 35). Ce contrôle doit normalement être assuré, au moins en dernier ressort, par le pouvoir judiciaire, car il offre les meilleures garanties d</w:t>
      </w:r>
      <w:r w:rsidR="004560CD" w:rsidRPr="004560CD">
        <w:rPr>
          <w:rFonts w:eastAsia="Calibri"/>
          <w:lang w:val="fr-FR" w:eastAsia="fr-FR"/>
        </w:rPr>
        <w:t>’</w:t>
      </w:r>
      <w:r w:rsidRPr="004560CD">
        <w:rPr>
          <w:rFonts w:eastAsia="Calibri"/>
          <w:lang w:val="fr-FR" w:eastAsia="fr-FR"/>
        </w:rPr>
        <w:t>indépendance, d</w:t>
      </w:r>
      <w:r w:rsidR="004560CD" w:rsidRPr="004560CD">
        <w:rPr>
          <w:rFonts w:eastAsia="Calibri"/>
          <w:lang w:val="fr-FR" w:eastAsia="fr-FR"/>
        </w:rPr>
        <w:t>’</w:t>
      </w:r>
      <w:r w:rsidRPr="004560CD">
        <w:rPr>
          <w:rFonts w:eastAsia="Calibri"/>
          <w:lang w:val="fr-FR" w:eastAsia="fr-FR"/>
        </w:rPr>
        <w:t>impartialité et de régularité des procédures (</w:t>
      </w:r>
      <w:r w:rsidRPr="004560CD">
        <w:rPr>
          <w:rFonts w:eastAsia="Calibri"/>
          <w:i/>
          <w:iCs/>
          <w:lang w:val="fr-FR" w:eastAsia="fr-FR"/>
        </w:rPr>
        <w:t>Sissanis</w:t>
      </w:r>
      <w:r w:rsidRPr="004560CD">
        <w:rPr>
          <w:rFonts w:eastAsia="Calibri"/>
          <w:iCs/>
          <w:lang w:val="fr-FR" w:eastAsia="fr-FR"/>
        </w:rPr>
        <w:t xml:space="preserve"> c. Roumanie</w:t>
      </w:r>
      <w:r w:rsidRPr="004560CD">
        <w:rPr>
          <w:rFonts w:eastAsia="Calibri"/>
          <w:lang w:val="fr-FR" w:eastAsia="fr-FR"/>
        </w:rPr>
        <w:t>, n</w:t>
      </w:r>
      <w:r w:rsidRPr="004560CD">
        <w:rPr>
          <w:rFonts w:eastAsia="Calibri"/>
          <w:vertAlign w:val="superscript"/>
          <w:lang w:val="fr-FR" w:eastAsia="fr-FR"/>
        </w:rPr>
        <w:t>o</w:t>
      </w:r>
      <w:r w:rsidRPr="004560CD">
        <w:rPr>
          <w:rFonts w:eastAsia="Calibri"/>
          <w:lang w:val="fr-FR" w:eastAsia="fr-FR"/>
        </w:rPr>
        <w:t> </w:t>
      </w:r>
      <w:hyperlink r:id="rId35" w:anchor="{" w:history="1">
        <w:r w:rsidRPr="004560CD">
          <w:rPr>
            <w:rFonts w:eastAsia="Calibri"/>
            <w:lang w:val="fr-FR" w:eastAsia="fr-FR"/>
          </w:rPr>
          <w:t>23468/02</w:t>
        </w:r>
      </w:hyperlink>
      <w:r w:rsidRPr="004560CD">
        <w:rPr>
          <w:rFonts w:eastAsia="Calibri"/>
          <w:lang w:val="fr-FR" w:eastAsia="fr-FR"/>
        </w:rPr>
        <w:t>, § 70, 25 janvier 2007). L</w:t>
      </w:r>
      <w:r w:rsidR="004560CD" w:rsidRPr="004560CD">
        <w:rPr>
          <w:rFonts w:eastAsia="Calibri"/>
          <w:lang w:val="fr-FR" w:eastAsia="fr-FR"/>
        </w:rPr>
        <w:t>’</w:t>
      </w:r>
      <w:r w:rsidRPr="004560CD">
        <w:rPr>
          <w:rFonts w:eastAsia="Calibri"/>
          <w:lang w:val="fr-FR" w:eastAsia="fr-FR"/>
        </w:rPr>
        <w:t xml:space="preserve">étendue du contrôle juridictionnel doit permettre au tribunal de tenir compte de tous les éléments, y compris ceux liés à la proportionnalité de la mesure restrictive (voir, </w:t>
      </w:r>
      <w:r w:rsidRPr="004560CD">
        <w:rPr>
          <w:rFonts w:eastAsia="Calibri"/>
          <w:iCs/>
          <w:lang w:val="fr-FR" w:eastAsia="fr-FR"/>
        </w:rPr>
        <w:t>mutatis mutandis</w:t>
      </w:r>
      <w:r w:rsidRPr="004560CD">
        <w:rPr>
          <w:rFonts w:eastAsia="Calibri"/>
          <w:lang w:val="fr-FR" w:eastAsia="fr-FR"/>
        </w:rPr>
        <w:t xml:space="preserve">, </w:t>
      </w:r>
      <w:r w:rsidRPr="004560CD">
        <w:rPr>
          <w:rFonts w:eastAsia="Calibri"/>
          <w:i/>
          <w:iCs/>
          <w:lang w:val="fr-FR" w:eastAsia="fr-FR"/>
        </w:rPr>
        <w:t>Le Compte, Van Leuven et De Meyere c.</w:t>
      </w:r>
      <w:r w:rsidR="00C60E8B" w:rsidRPr="004560CD">
        <w:rPr>
          <w:rFonts w:eastAsia="Calibri"/>
          <w:i/>
          <w:iCs/>
          <w:lang w:val="fr-FR" w:eastAsia="fr-FR"/>
        </w:rPr>
        <w:t> </w:t>
      </w:r>
      <w:r w:rsidRPr="004560CD">
        <w:rPr>
          <w:rFonts w:eastAsia="Calibri"/>
          <w:i/>
          <w:iCs/>
          <w:lang w:val="fr-FR" w:eastAsia="fr-FR"/>
        </w:rPr>
        <w:t>Belgique</w:t>
      </w:r>
      <w:r w:rsidRPr="004560CD">
        <w:rPr>
          <w:rFonts w:eastAsia="Calibri"/>
          <w:iCs/>
          <w:lang w:val="fr-FR" w:eastAsia="fr-FR"/>
        </w:rPr>
        <w:t>,</w:t>
      </w:r>
      <w:r w:rsidRPr="004560CD">
        <w:rPr>
          <w:rFonts w:eastAsia="Calibri"/>
          <w:lang w:val="fr-FR" w:eastAsia="fr-FR"/>
        </w:rPr>
        <w:t xml:space="preserve"> 23 juin 1981, § 60, série A n</w:t>
      </w:r>
      <w:r w:rsidRPr="004560CD">
        <w:rPr>
          <w:rFonts w:eastAsia="Calibri"/>
          <w:vertAlign w:val="superscript"/>
          <w:lang w:val="fr-FR" w:eastAsia="fr-FR"/>
        </w:rPr>
        <w:t>o </w:t>
      </w:r>
      <w:r w:rsidRPr="004560CD">
        <w:rPr>
          <w:rFonts w:eastAsia="Calibri"/>
          <w:lang w:val="fr-FR" w:eastAsia="fr-FR"/>
        </w:rPr>
        <w:t>43).</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43</w:t>
      </w:r>
      <w:r w:rsidRPr="004560CD">
        <w:rPr>
          <w:rFonts w:eastAsia="Calibri"/>
          <w:lang w:val="fr-FR" w:eastAsia="fr-FR"/>
        </w:rPr>
        <w:fldChar w:fldCharType="end"/>
      </w:r>
      <w:r w:rsidRPr="004560CD">
        <w:rPr>
          <w:rFonts w:eastAsia="Calibri"/>
          <w:lang w:val="fr-FR" w:eastAsia="fr-FR"/>
        </w:rPr>
        <w:t>.  Se tournant vers les circonstances de l</w:t>
      </w:r>
      <w:r w:rsidR="004560CD" w:rsidRPr="004560CD">
        <w:rPr>
          <w:rFonts w:eastAsia="Calibri"/>
          <w:lang w:val="fr-FR" w:eastAsia="fr-FR"/>
        </w:rPr>
        <w:t>’</w:t>
      </w:r>
      <w:r w:rsidRPr="004560CD">
        <w:rPr>
          <w:rFonts w:eastAsia="Calibri"/>
          <w:lang w:val="fr-FR" w:eastAsia="fr-FR"/>
        </w:rPr>
        <w:t>espèce, la Cour remarque que le requérant n</w:t>
      </w:r>
      <w:r w:rsidR="004560CD" w:rsidRPr="004560CD">
        <w:rPr>
          <w:rFonts w:eastAsia="Calibri"/>
          <w:lang w:val="fr-FR" w:eastAsia="fr-FR"/>
        </w:rPr>
        <w:t>’</w:t>
      </w:r>
      <w:r w:rsidRPr="004560CD">
        <w:rPr>
          <w:rFonts w:eastAsia="Calibri"/>
          <w:lang w:val="fr-FR" w:eastAsia="fr-FR"/>
        </w:rPr>
        <w:t>a plus de passeport, ni de carte d</w:t>
      </w:r>
      <w:r w:rsidR="004560CD" w:rsidRPr="004560CD">
        <w:rPr>
          <w:rFonts w:eastAsia="Calibri"/>
          <w:lang w:val="fr-FR" w:eastAsia="fr-FR"/>
        </w:rPr>
        <w:t>’</w:t>
      </w:r>
      <w:r w:rsidRPr="004560CD">
        <w:rPr>
          <w:rFonts w:eastAsia="Calibri"/>
          <w:lang w:val="fr-FR" w:eastAsia="fr-FR"/>
        </w:rPr>
        <w:t>identité valable pour l</w:t>
      </w:r>
      <w:r w:rsidR="004560CD" w:rsidRPr="004560CD">
        <w:rPr>
          <w:rFonts w:eastAsia="Calibri"/>
          <w:lang w:val="fr-FR" w:eastAsia="fr-FR"/>
        </w:rPr>
        <w:t>’</w:t>
      </w:r>
      <w:r w:rsidRPr="004560CD">
        <w:rPr>
          <w:rFonts w:eastAsia="Calibri"/>
          <w:lang w:val="fr-FR" w:eastAsia="fr-FR"/>
        </w:rPr>
        <w:t>étranger depuis 2008. Elle note que le requérant s</w:t>
      </w:r>
      <w:r w:rsidR="004560CD" w:rsidRPr="004560CD">
        <w:rPr>
          <w:rFonts w:eastAsia="Calibri"/>
          <w:lang w:val="fr-FR" w:eastAsia="fr-FR"/>
        </w:rPr>
        <w:t>’</w:t>
      </w:r>
      <w:r w:rsidRPr="004560CD">
        <w:rPr>
          <w:rFonts w:eastAsia="Calibri"/>
          <w:lang w:val="fr-FR" w:eastAsia="fr-FR"/>
        </w:rPr>
        <w:t>est vu refuser la délivrance d</w:t>
      </w:r>
      <w:r w:rsidR="004560CD" w:rsidRPr="004560CD">
        <w:rPr>
          <w:rFonts w:eastAsia="Calibri"/>
          <w:lang w:val="fr-FR" w:eastAsia="fr-FR"/>
        </w:rPr>
        <w:t>’</w:t>
      </w:r>
      <w:r w:rsidRPr="004560CD">
        <w:rPr>
          <w:rFonts w:eastAsia="Calibri"/>
          <w:lang w:val="fr-FR" w:eastAsia="fr-FR"/>
        </w:rPr>
        <w:t>un passeport et d</w:t>
      </w:r>
      <w:r w:rsidR="004560CD" w:rsidRPr="004560CD">
        <w:rPr>
          <w:rFonts w:eastAsia="Calibri"/>
          <w:lang w:val="fr-FR" w:eastAsia="fr-FR"/>
        </w:rPr>
        <w:t>’</w:t>
      </w:r>
      <w:r w:rsidRPr="004560CD">
        <w:rPr>
          <w:rFonts w:eastAsia="Calibri"/>
          <w:lang w:val="fr-FR" w:eastAsia="fr-FR"/>
        </w:rPr>
        <w:t>une carte d</w:t>
      </w:r>
      <w:r w:rsidR="004560CD" w:rsidRPr="004560CD">
        <w:rPr>
          <w:rFonts w:eastAsia="Calibri"/>
          <w:lang w:val="fr-FR" w:eastAsia="fr-FR"/>
        </w:rPr>
        <w:t>’</w:t>
      </w:r>
      <w:r w:rsidRPr="004560CD">
        <w:rPr>
          <w:rFonts w:eastAsia="Calibri"/>
          <w:lang w:val="fr-FR" w:eastAsia="fr-FR"/>
        </w:rPr>
        <w:t>identité valable pour l</w:t>
      </w:r>
      <w:r w:rsidR="004560CD" w:rsidRPr="004560CD">
        <w:rPr>
          <w:rFonts w:eastAsia="Calibri"/>
          <w:lang w:val="fr-FR" w:eastAsia="fr-FR"/>
        </w:rPr>
        <w:t>’</w:t>
      </w:r>
      <w:r w:rsidRPr="004560CD">
        <w:rPr>
          <w:rFonts w:eastAsia="Calibri"/>
          <w:lang w:val="fr-FR" w:eastAsia="fr-FR"/>
        </w:rPr>
        <w:t>étranger à cause du non-paiement de la pension alimentaire. Les juridictions internes (paragraphes 11-12 ci-dessus) ont souligné que le requérant ne s</w:t>
      </w:r>
      <w:r w:rsidR="004560CD" w:rsidRPr="004560CD">
        <w:rPr>
          <w:rFonts w:eastAsia="Calibri"/>
          <w:lang w:val="fr-FR" w:eastAsia="fr-FR"/>
        </w:rPr>
        <w:t>’</w:t>
      </w:r>
      <w:r w:rsidRPr="004560CD">
        <w:rPr>
          <w:rFonts w:eastAsia="Calibri"/>
          <w:lang w:val="fr-FR" w:eastAsia="fr-FR"/>
        </w:rPr>
        <w:t>était pas acquitté de la pension alimentaire qu</w:t>
      </w:r>
      <w:r w:rsidR="004560CD" w:rsidRPr="004560CD">
        <w:rPr>
          <w:rFonts w:eastAsia="Calibri"/>
          <w:lang w:val="fr-FR" w:eastAsia="fr-FR"/>
        </w:rPr>
        <w:t>’</w:t>
      </w:r>
      <w:r w:rsidRPr="004560CD">
        <w:rPr>
          <w:rFonts w:eastAsia="Calibri"/>
          <w:lang w:val="fr-FR" w:eastAsia="fr-FR"/>
        </w:rPr>
        <w:t>il était tenu de verser au titre de ses enfants et qu</w:t>
      </w:r>
      <w:r w:rsidR="004560CD" w:rsidRPr="004560CD">
        <w:rPr>
          <w:rFonts w:eastAsia="Calibri"/>
          <w:lang w:val="fr-FR" w:eastAsia="fr-FR"/>
        </w:rPr>
        <w:t>’</w:t>
      </w:r>
      <w:r w:rsidRPr="004560CD">
        <w:rPr>
          <w:rFonts w:eastAsia="Calibri"/>
          <w:lang w:val="fr-FR" w:eastAsia="fr-FR"/>
        </w:rPr>
        <w:t>il y avait un risque qu</w:t>
      </w:r>
      <w:r w:rsidR="004560CD" w:rsidRPr="004560CD">
        <w:rPr>
          <w:rFonts w:eastAsia="Calibri"/>
          <w:lang w:val="fr-FR" w:eastAsia="fr-FR"/>
        </w:rPr>
        <w:t>’</w:t>
      </w:r>
      <w:r w:rsidRPr="004560CD">
        <w:rPr>
          <w:rFonts w:eastAsia="Calibri"/>
          <w:lang w:val="fr-FR" w:eastAsia="fr-FR"/>
        </w:rPr>
        <w:t>il ne la paye plus en se rendant à l</w:t>
      </w:r>
      <w:r w:rsidR="004560CD" w:rsidRPr="004560CD">
        <w:rPr>
          <w:rFonts w:eastAsia="Calibri"/>
          <w:lang w:val="fr-FR" w:eastAsia="fr-FR"/>
        </w:rPr>
        <w:t>’</w:t>
      </w:r>
      <w:r w:rsidR="00ED5510" w:rsidRPr="004560CD">
        <w:rPr>
          <w:rFonts w:eastAsia="Calibri"/>
          <w:lang w:val="fr-FR" w:eastAsia="fr-FR"/>
        </w:rPr>
        <w:t>é</w:t>
      </w:r>
      <w:r w:rsidRPr="004560CD">
        <w:rPr>
          <w:rFonts w:eastAsia="Calibri"/>
          <w:lang w:val="fr-FR" w:eastAsia="fr-FR"/>
        </w:rPr>
        <w:t>tranger.</w:t>
      </w:r>
    </w:p>
    <w:p w:rsidR="005A16EE" w:rsidRPr="004560CD" w:rsidRDefault="005A16EE" w:rsidP="004560CD">
      <w:pPr>
        <w:pStyle w:val="ECHRPara"/>
        <w:rPr>
          <w:rFonts w:eastAsia="Calibri"/>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44</w:t>
      </w:r>
      <w:r w:rsidRPr="004560CD">
        <w:rPr>
          <w:rFonts w:eastAsia="Calibri"/>
          <w:lang w:val="fr-FR" w:eastAsia="fr-FR"/>
        </w:rPr>
        <w:fldChar w:fldCharType="end"/>
      </w:r>
      <w:r w:rsidRPr="004560CD">
        <w:rPr>
          <w:rFonts w:eastAsia="Calibri"/>
          <w:lang w:val="fr-FR" w:eastAsia="fr-FR"/>
        </w:rPr>
        <w:t>.  Ainsi qu</w:t>
      </w:r>
      <w:r w:rsidR="004560CD" w:rsidRPr="004560CD">
        <w:rPr>
          <w:rFonts w:eastAsia="Calibri"/>
          <w:lang w:val="fr-FR" w:eastAsia="fr-FR"/>
        </w:rPr>
        <w:t>’</w:t>
      </w:r>
      <w:r w:rsidRPr="004560CD">
        <w:rPr>
          <w:rFonts w:eastAsia="Calibri"/>
          <w:lang w:val="fr-FR" w:eastAsia="fr-FR"/>
        </w:rPr>
        <w:t>il ressort du dossier et notamment des décisions nationales pertinentes, les juridictions internes n</w:t>
      </w:r>
      <w:r w:rsidR="004560CD" w:rsidRPr="004560CD">
        <w:rPr>
          <w:rFonts w:eastAsia="Calibri"/>
          <w:lang w:val="fr-FR" w:eastAsia="fr-FR"/>
        </w:rPr>
        <w:t>’</w:t>
      </w:r>
      <w:r w:rsidRPr="004560CD">
        <w:rPr>
          <w:rFonts w:eastAsia="Calibri"/>
          <w:lang w:val="fr-FR" w:eastAsia="fr-FR"/>
        </w:rPr>
        <w:t>ont pas jugé nécessaire d</w:t>
      </w:r>
      <w:r w:rsidR="004560CD" w:rsidRPr="004560CD">
        <w:rPr>
          <w:rFonts w:eastAsia="Calibri"/>
          <w:lang w:val="fr-FR" w:eastAsia="fr-FR"/>
        </w:rPr>
        <w:t>’</w:t>
      </w:r>
      <w:r w:rsidRPr="004560CD">
        <w:rPr>
          <w:rFonts w:eastAsia="Calibri"/>
          <w:lang w:val="fr-FR" w:eastAsia="fr-FR"/>
        </w:rPr>
        <w:t>examiner la situation personnelle de l</w:t>
      </w:r>
      <w:r w:rsidR="004560CD" w:rsidRPr="004560CD">
        <w:rPr>
          <w:rFonts w:eastAsia="Calibri"/>
          <w:lang w:val="fr-FR" w:eastAsia="fr-FR"/>
        </w:rPr>
        <w:t>’</w:t>
      </w:r>
      <w:r w:rsidRPr="004560CD">
        <w:rPr>
          <w:rFonts w:eastAsia="Calibri"/>
          <w:lang w:val="fr-FR" w:eastAsia="fr-FR"/>
        </w:rPr>
        <w:t>intéresse, ni sa capacité à s</w:t>
      </w:r>
      <w:r w:rsidR="004560CD" w:rsidRPr="004560CD">
        <w:rPr>
          <w:rFonts w:eastAsia="Calibri"/>
          <w:lang w:val="fr-FR" w:eastAsia="fr-FR"/>
        </w:rPr>
        <w:t>’</w:t>
      </w:r>
      <w:r w:rsidRPr="004560CD">
        <w:rPr>
          <w:rFonts w:eastAsia="Calibri"/>
          <w:lang w:val="fr-FR" w:eastAsia="fr-FR"/>
        </w:rPr>
        <w:t>acquitter des sommes dues et ont appliqué la mesure litigieuse de manière automatique. Dans l</w:t>
      </w:r>
      <w:r w:rsidR="004560CD" w:rsidRPr="004560CD">
        <w:rPr>
          <w:rFonts w:eastAsia="Calibri"/>
          <w:lang w:val="fr-FR" w:eastAsia="fr-FR"/>
        </w:rPr>
        <w:t>’</w:t>
      </w:r>
      <w:r w:rsidRPr="004560CD">
        <w:rPr>
          <w:rFonts w:eastAsia="Calibri"/>
          <w:lang w:val="fr-FR" w:eastAsia="fr-FR"/>
        </w:rPr>
        <w:t xml:space="preserve">espèce, aucune </w:t>
      </w:r>
      <w:r w:rsidRPr="004560CD">
        <w:rPr>
          <w:rFonts w:ascii="Times New Roman" w:eastAsia="Times New Roman" w:hAnsi="Times New Roman" w:cs="Times New Roman"/>
          <w:szCs w:val="20"/>
          <w:lang w:val="fr-FR" w:eastAsia="en-GB"/>
        </w:rPr>
        <w:t xml:space="preserve">pondération des </w:t>
      </w:r>
      <w:r w:rsidRPr="004560CD">
        <w:rPr>
          <w:rFonts w:ascii="Times New Roman" w:eastAsia="Times New Roman" w:hAnsi="Times New Roman" w:cs="Times New Roman"/>
          <w:bCs/>
          <w:szCs w:val="20"/>
          <w:lang w:val="fr-FR" w:eastAsia="en-GB"/>
        </w:rPr>
        <w:t xml:space="preserve">droits </w:t>
      </w:r>
      <w:r w:rsidRPr="004560CD">
        <w:rPr>
          <w:rFonts w:eastAsia="Calibri"/>
          <w:lang w:val="fr-FR" w:eastAsia="fr-FR"/>
        </w:rPr>
        <w:t>en cause ne semble avoir été faite. Seuls les intérêts patrimoniaux des bénéficiaires des aliments ont été pris en considération.</w:t>
      </w:r>
    </w:p>
    <w:p w:rsidR="005A16EE" w:rsidRPr="004560CD" w:rsidRDefault="005A16EE" w:rsidP="004560CD">
      <w:pPr>
        <w:pStyle w:val="ECHRPara"/>
        <w:rPr>
          <w:rFonts w:eastAsia="Calibri"/>
          <w:bCs/>
          <w:iCs/>
          <w:lang w:val="fr-FR" w:eastAsia="fr-FR"/>
        </w:rPr>
      </w:pPr>
      <w:r w:rsidRPr="004560CD">
        <w:rPr>
          <w:rFonts w:eastAsia="Calibri"/>
          <w:lang w:val="fr-FR" w:eastAsia="fr-FR"/>
        </w:rPr>
        <w:fldChar w:fldCharType="begin"/>
      </w:r>
      <w:r w:rsidRPr="004560CD">
        <w:rPr>
          <w:rFonts w:eastAsia="Calibri"/>
          <w:lang w:val="fr-FR" w:eastAsia="fr-FR"/>
        </w:rPr>
        <w:instrText xml:space="preserve"> SEQ level0 \*arabic </w:instrText>
      </w:r>
      <w:r w:rsidRPr="004560CD">
        <w:rPr>
          <w:rFonts w:eastAsia="Calibri"/>
          <w:lang w:val="fr-FR" w:eastAsia="fr-FR"/>
        </w:rPr>
        <w:fldChar w:fldCharType="separate"/>
      </w:r>
      <w:r w:rsidR="00FD759F">
        <w:rPr>
          <w:rFonts w:eastAsia="Calibri"/>
          <w:noProof/>
          <w:lang w:val="fr-FR" w:eastAsia="fr-FR"/>
        </w:rPr>
        <w:t>45</w:t>
      </w:r>
      <w:r w:rsidRPr="004560CD">
        <w:rPr>
          <w:rFonts w:eastAsia="Calibri"/>
          <w:lang w:val="fr-FR" w:eastAsia="fr-FR"/>
        </w:rPr>
        <w:fldChar w:fldCharType="end"/>
      </w:r>
      <w:r w:rsidRPr="004560CD">
        <w:rPr>
          <w:rFonts w:eastAsia="Calibri"/>
          <w:lang w:val="fr-FR" w:eastAsia="fr-FR"/>
        </w:rPr>
        <w:t>.  Par ailleurs, la Cour constate que la question du recouvrement des créances alimentaires fait l</w:t>
      </w:r>
      <w:r w:rsidR="004560CD" w:rsidRPr="004560CD">
        <w:rPr>
          <w:rFonts w:eastAsia="Calibri"/>
          <w:lang w:val="fr-FR" w:eastAsia="fr-FR"/>
        </w:rPr>
        <w:t>’</w:t>
      </w:r>
      <w:r w:rsidRPr="004560CD">
        <w:rPr>
          <w:rFonts w:eastAsia="Calibri"/>
          <w:lang w:val="fr-FR" w:eastAsia="fr-FR"/>
        </w:rPr>
        <w:t>objet d</w:t>
      </w:r>
      <w:r w:rsidR="004560CD" w:rsidRPr="004560CD">
        <w:rPr>
          <w:rFonts w:eastAsia="Calibri"/>
          <w:lang w:val="fr-FR" w:eastAsia="fr-FR"/>
        </w:rPr>
        <w:t>’</w:t>
      </w:r>
      <w:r w:rsidRPr="004560CD">
        <w:rPr>
          <w:rFonts w:eastAsia="Calibri"/>
          <w:lang w:val="fr-FR" w:eastAsia="fr-FR"/>
        </w:rPr>
        <w:t>une coopération en matière civile au niveau européen et international. Elle rappelle qu</w:t>
      </w:r>
      <w:r w:rsidR="004560CD" w:rsidRPr="004560CD">
        <w:rPr>
          <w:rFonts w:eastAsia="Calibri"/>
          <w:lang w:val="fr-FR" w:eastAsia="fr-FR"/>
        </w:rPr>
        <w:t>’</w:t>
      </w:r>
      <w:r w:rsidRPr="004560CD">
        <w:rPr>
          <w:rFonts w:eastAsia="Calibri"/>
          <w:lang w:val="fr-FR" w:eastAsia="fr-FR"/>
        </w:rPr>
        <w:t xml:space="preserve">il existe des moyens susceptibles de parvenir au recouvrement du crédit en dehors des frontières nationales, en particulier le </w:t>
      </w:r>
      <w:r w:rsidRPr="004560CD">
        <w:rPr>
          <w:rFonts w:eastAsia="Calibri"/>
          <w:bCs/>
          <w:lang w:val="fr-FR" w:eastAsia="fr-FR"/>
        </w:rPr>
        <w:t>Règlement (CE) n</w:t>
      </w:r>
      <w:r w:rsidRPr="004560CD">
        <w:rPr>
          <w:rFonts w:eastAsia="Calibri"/>
          <w:bCs/>
          <w:vertAlign w:val="superscript"/>
          <w:lang w:val="fr-FR" w:eastAsia="fr-FR"/>
        </w:rPr>
        <w:t>o</w:t>
      </w:r>
      <w:r w:rsidRPr="004560CD">
        <w:rPr>
          <w:rFonts w:eastAsia="Calibri"/>
          <w:bCs/>
          <w:lang w:val="fr-FR" w:eastAsia="fr-FR"/>
        </w:rPr>
        <w:t xml:space="preserve"> 4/2009 du Conseil du 18 décembre 2008 relatif à la compétence, la loi applicable, la reconnaissance et l</w:t>
      </w:r>
      <w:r w:rsidR="004560CD" w:rsidRPr="004560CD">
        <w:rPr>
          <w:rFonts w:eastAsia="Calibri"/>
          <w:bCs/>
          <w:lang w:val="fr-FR" w:eastAsia="fr-FR"/>
        </w:rPr>
        <w:t>’</w:t>
      </w:r>
      <w:r w:rsidRPr="004560CD">
        <w:rPr>
          <w:rFonts w:eastAsia="Calibri"/>
          <w:bCs/>
          <w:lang w:val="fr-FR" w:eastAsia="fr-FR"/>
        </w:rPr>
        <w:t>exécution des décisions et la coopération en matière d</w:t>
      </w:r>
      <w:r w:rsidR="004560CD" w:rsidRPr="004560CD">
        <w:rPr>
          <w:rFonts w:eastAsia="Calibri"/>
          <w:bCs/>
          <w:lang w:val="fr-FR" w:eastAsia="fr-FR"/>
        </w:rPr>
        <w:t>’</w:t>
      </w:r>
      <w:r w:rsidRPr="004560CD">
        <w:rPr>
          <w:rFonts w:eastAsia="Calibri"/>
          <w:bCs/>
          <w:lang w:val="fr-FR" w:eastAsia="fr-FR"/>
        </w:rPr>
        <w:t xml:space="preserve">obligations alimentaires, la </w:t>
      </w:r>
      <w:r w:rsidRPr="004560CD">
        <w:rPr>
          <w:rFonts w:eastAsia="Calibri"/>
          <w:bCs/>
          <w:iCs/>
          <w:lang w:val="fr-FR" w:eastAsia="fr-FR"/>
        </w:rPr>
        <w:t>Convention de La Haye du 23</w:t>
      </w:r>
      <w:r w:rsidR="00C60E8B" w:rsidRPr="004560CD">
        <w:rPr>
          <w:rFonts w:eastAsia="Calibri"/>
          <w:bCs/>
          <w:iCs/>
          <w:lang w:val="fr-FR" w:eastAsia="fr-FR"/>
        </w:rPr>
        <w:t> </w:t>
      </w:r>
      <w:r w:rsidRPr="004560CD">
        <w:rPr>
          <w:rFonts w:eastAsia="Calibri"/>
          <w:bCs/>
          <w:iCs/>
          <w:lang w:val="fr-FR" w:eastAsia="fr-FR"/>
        </w:rPr>
        <w:t>novembre</w:t>
      </w:r>
      <w:r w:rsidR="00C60E8B" w:rsidRPr="004560CD">
        <w:rPr>
          <w:rFonts w:eastAsia="Calibri"/>
          <w:bCs/>
          <w:iCs/>
          <w:lang w:val="fr-FR" w:eastAsia="fr-FR"/>
        </w:rPr>
        <w:t> </w:t>
      </w:r>
      <w:r w:rsidRPr="004560CD">
        <w:rPr>
          <w:rFonts w:eastAsia="Calibri"/>
          <w:bCs/>
          <w:iCs/>
          <w:lang w:val="fr-FR" w:eastAsia="fr-FR"/>
        </w:rPr>
        <w:t>2007 sur le recouvrement international des aliments destinés aux enfants et à d</w:t>
      </w:r>
      <w:r w:rsidR="004560CD" w:rsidRPr="004560CD">
        <w:rPr>
          <w:rFonts w:eastAsia="Calibri"/>
          <w:bCs/>
          <w:iCs/>
          <w:lang w:val="fr-FR" w:eastAsia="fr-FR"/>
        </w:rPr>
        <w:t>’</w:t>
      </w:r>
      <w:r w:rsidRPr="004560CD">
        <w:rPr>
          <w:rFonts w:eastAsia="Calibri"/>
          <w:bCs/>
          <w:iCs/>
          <w:lang w:val="fr-FR" w:eastAsia="fr-FR"/>
        </w:rPr>
        <w:t>autres membres de la famille</w:t>
      </w:r>
      <w:r w:rsidRPr="004560CD">
        <w:rPr>
          <w:rFonts w:eastAsia="Calibri"/>
          <w:bCs/>
          <w:lang w:val="fr-FR" w:eastAsia="fr-FR"/>
        </w:rPr>
        <w:t xml:space="preserve"> et </w:t>
      </w:r>
      <w:r w:rsidRPr="004560CD">
        <w:rPr>
          <w:rFonts w:asciiTheme="majorHAnsi" w:eastAsia="Times New Roman" w:hAnsiTheme="majorHAnsi" w:cstheme="majorHAnsi"/>
          <w:lang w:val="fr-FR"/>
        </w:rPr>
        <w:t>la Convention de New York sur le recouvrement des aliments à l</w:t>
      </w:r>
      <w:r w:rsidR="004560CD" w:rsidRPr="004560CD">
        <w:rPr>
          <w:rFonts w:asciiTheme="majorHAnsi" w:eastAsia="Times New Roman" w:hAnsiTheme="majorHAnsi" w:cstheme="majorHAnsi"/>
          <w:lang w:val="fr-FR"/>
        </w:rPr>
        <w:t>’</w:t>
      </w:r>
      <w:r w:rsidRPr="004560CD">
        <w:rPr>
          <w:rFonts w:asciiTheme="majorHAnsi" w:eastAsia="Times New Roman" w:hAnsiTheme="majorHAnsi" w:cstheme="majorHAnsi"/>
          <w:lang w:val="fr-FR"/>
        </w:rPr>
        <w:t>étranger</w:t>
      </w:r>
      <w:r w:rsidRPr="004560CD">
        <w:rPr>
          <w:rFonts w:asciiTheme="majorHAnsi" w:eastAsia="Calibri" w:hAnsiTheme="majorHAnsi" w:cstheme="majorHAnsi"/>
          <w:bCs/>
          <w:iCs/>
          <w:lang w:val="fr-FR" w:eastAsia="fr-FR"/>
        </w:rPr>
        <w:t>.</w:t>
      </w:r>
      <w:r w:rsidRPr="004560CD">
        <w:rPr>
          <w:rFonts w:eastAsia="Calibri"/>
          <w:bCs/>
          <w:iCs/>
          <w:lang w:val="fr-FR" w:eastAsia="fr-FR"/>
        </w:rPr>
        <w:t xml:space="preserve"> Ces instruments n</w:t>
      </w:r>
      <w:r w:rsidR="004560CD" w:rsidRPr="004560CD">
        <w:rPr>
          <w:rFonts w:eastAsia="Calibri"/>
          <w:bCs/>
          <w:iCs/>
          <w:lang w:val="fr-FR" w:eastAsia="fr-FR"/>
        </w:rPr>
        <w:t>’</w:t>
      </w:r>
      <w:r w:rsidRPr="004560CD">
        <w:rPr>
          <w:rFonts w:eastAsia="Calibri"/>
          <w:bCs/>
          <w:iCs/>
          <w:lang w:val="fr-FR" w:eastAsia="fr-FR"/>
        </w:rPr>
        <w:t>ont pas été pris en compte par les autorités au moment de l</w:t>
      </w:r>
      <w:r w:rsidR="004560CD" w:rsidRPr="004560CD">
        <w:rPr>
          <w:rFonts w:eastAsia="Calibri"/>
          <w:bCs/>
          <w:iCs/>
          <w:lang w:val="fr-FR" w:eastAsia="fr-FR"/>
        </w:rPr>
        <w:t>’</w:t>
      </w:r>
      <w:r w:rsidRPr="004560CD">
        <w:rPr>
          <w:rFonts w:eastAsia="Calibri"/>
          <w:bCs/>
          <w:iCs/>
          <w:lang w:val="fr-FR" w:eastAsia="fr-FR"/>
        </w:rPr>
        <w:t>application de la mesure litigieuse. Elles se sont limitées à souligner que le requérant aurait pu se rendre à l</w:t>
      </w:r>
      <w:r w:rsidR="004560CD" w:rsidRPr="004560CD">
        <w:rPr>
          <w:rFonts w:eastAsia="Calibri"/>
          <w:bCs/>
          <w:iCs/>
          <w:lang w:val="fr-FR" w:eastAsia="fr-FR"/>
        </w:rPr>
        <w:t>’</w:t>
      </w:r>
      <w:r w:rsidRPr="004560CD">
        <w:rPr>
          <w:rFonts w:eastAsia="Calibri"/>
          <w:bCs/>
          <w:iCs/>
          <w:lang w:val="fr-FR" w:eastAsia="fr-FR"/>
        </w:rPr>
        <w:t>étranger avec son passeport et se soustraire ainsi à son obligation.</w:t>
      </w:r>
    </w:p>
    <w:p w:rsidR="005A16EE" w:rsidRPr="004560CD" w:rsidRDefault="005A16EE" w:rsidP="004560CD">
      <w:pPr>
        <w:pStyle w:val="ECHRPara"/>
        <w:rPr>
          <w:rFonts w:eastAsia="Calibri"/>
          <w:bCs/>
          <w:iCs/>
          <w:lang w:val="fr-FR" w:eastAsia="fr-FR"/>
        </w:rPr>
      </w:pPr>
      <w:r w:rsidRPr="004560CD">
        <w:rPr>
          <w:rFonts w:eastAsia="Calibri"/>
          <w:bCs/>
          <w:iCs/>
          <w:lang w:val="fr-FR" w:eastAsia="fr-FR"/>
        </w:rPr>
        <w:fldChar w:fldCharType="begin"/>
      </w:r>
      <w:r w:rsidRPr="004560CD">
        <w:rPr>
          <w:rFonts w:eastAsia="Calibri"/>
          <w:bCs/>
          <w:iCs/>
          <w:lang w:val="fr-FR" w:eastAsia="fr-FR"/>
        </w:rPr>
        <w:instrText xml:space="preserve"> SEQ level0 \*arabic </w:instrText>
      </w:r>
      <w:r w:rsidRPr="004560CD">
        <w:rPr>
          <w:rFonts w:eastAsia="Calibri"/>
          <w:bCs/>
          <w:iCs/>
          <w:lang w:val="fr-FR" w:eastAsia="fr-FR"/>
        </w:rPr>
        <w:fldChar w:fldCharType="separate"/>
      </w:r>
      <w:r w:rsidR="00FD759F">
        <w:rPr>
          <w:rFonts w:eastAsia="Calibri"/>
          <w:bCs/>
          <w:iCs/>
          <w:noProof/>
          <w:lang w:val="fr-FR" w:eastAsia="fr-FR"/>
        </w:rPr>
        <w:t>46</w:t>
      </w:r>
      <w:r w:rsidRPr="004560CD">
        <w:rPr>
          <w:rFonts w:eastAsia="Calibri"/>
          <w:bCs/>
          <w:iCs/>
          <w:lang w:val="fr-FR" w:eastAsia="fr-FR"/>
        </w:rPr>
        <w:fldChar w:fldCharType="end"/>
      </w:r>
      <w:r w:rsidRPr="004560CD">
        <w:rPr>
          <w:rFonts w:eastAsia="Calibri"/>
          <w:bCs/>
          <w:iCs/>
          <w:lang w:val="fr-FR" w:eastAsia="fr-FR"/>
        </w:rPr>
        <w:t>.  De plus, la Cour note que dans le cas d</w:t>
      </w:r>
      <w:r w:rsidR="004560CD" w:rsidRPr="004560CD">
        <w:rPr>
          <w:rFonts w:eastAsia="Calibri"/>
          <w:bCs/>
          <w:iCs/>
          <w:lang w:val="fr-FR" w:eastAsia="fr-FR"/>
        </w:rPr>
        <w:t>’</w:t>
      </w:r>
      <w:r w:rsidRPr="004560CD">
        <w:rPr>
          <w:rFonts w:eastAsia="Calibri"/>
          <w:bCs/>
          <w:iCs/>
          <w:lang w:val="fr-FR" w:eastAsia="fr-FR"/>
        </w:rPr>
        <w:t>espèce, la restriction imposée au requérant n</w:t>
      </w:r>
      <w:r w:rsidR="004560CD" w:rsidRPr="004560CD">
        <w:rPr>
          <w:rFonts w:eastAsia="Calibri"/>
          <w:bCs/>
          <w:iCs/>
          <w:lang w:val="fr-FR" w:eastAsia="fr-FR"/>
        </w:rPr>
        <w:t>’</w:t>
      </w:r>
      <w:r w:rsidRPr="004560CD">
        <w:rPr>
          <w:rFonts w:eastAsia="Calibri"/>
          <w:bCs/>
          <w:iCs/>
          <w:lang w:val="fr-FR" w:eastAsia="fr-FR"/>
        </w:rPr>
        <w:t>a pas garanti le paiement de la pension alimentaire.</w:t>
      </w:r>
    </w:p>
    <w:p w:rsidR="005A16EE" w:rsidRPr="004560CD" w:rsidRDefault="005A16EE" w:rsidP="004560CD">
      <w:pPr>
        <w:pStyle w:val="ECHRPara"/>
        <w:rPr>
          <w:rFonts w:eastAsia="Calibri"/>
          <w:bCs/>
          <w:iCs/>
          <w:lang w:val="fr-FR" w:eastAsia="fr-FR"/>
        </w:rPr>
      </w:pPr>
      <w:r w:rsidRPr="004560CD">
        <w:rPr>
          <w:rFonts w:eastAsia="Calibri"/>
          <w:bCs/>
          <w:iCs/>
          <w:lang w:val="fr-FR" w:eastAsia="fr-FR"/>
        </w:rPr>
        <w:fldChar w:fldCharType="begin"/>
      </w:r>
      <w:r w:rsidRPr="004560CD">
        <w:rPr>
          <w:rFonts w:eastAsia="Calibri"/>
          <w:bCs/>
          <w:iCs/>
          <w:lang w:val="fr-FR" w:eastAsia="fr-FR"/>
        </w:rPr>
        <w:instrText xml:space="preserve"> SEQ level0 \*arabic </w:instrText>
      </w:r>
      <w:r w:rsidRPr="004560CD">
        <w:rPr>
          <w:rFonts w:eastAsia="Calibri"/>
          <w:bCs/>
          <w:iCs/>
          <w:lang w:val="fr-FR" w:eastAsia="fr-FR"/>
        </w:rPr>
        <w:fldChar w:fldCharType="separate"/>
      </w:r>
      <w:r w:rsidR="00FD759F">
        <w:rPr>
          <w:rFonts w:eastAsia="Calibri"/>
          <w:bCs/>
          <w:iCs/>
          <w:noProof/>
          <w:lang w:val="fr-FR" w:eastAsia="fr-FR"/>
        </w:rPr>
        <w:t>47</w:t>
      </w:r>
      <w:r w:rsidRPr="004560CD">
        <w:rPr>
          <w:rFonts w:eastAsia="Calibri"/>
          <w:bCs/>
          <w:iCs/>
          <w:lang w:val="fr-FR" w:eastAsia="fr-FR"/>
        </w:rPr>
        <w:fldChar w:fldCharType="end"/>
      </w:r>
      <w:r w:rsidRPr="004560CD">
        <w:rPr>
          <w:rFonts w:eastAsia="Calibri"/>
          <w:bCs/>
          <w:iCs/>
          <w:lang w:val="fr-FR" w:eastAsia="fr-FR"/>
        </w:rPr>
        <w:t>.  Elle estime partant que l</w:t>
      </w:r>
      <w:r w:rsidR="004560CD" w:rsidRPr="004560CD">
        <w:rPr>
          <w:rFonts w:eastAsia="Calibri"/>
          <w:bCs/>
          <w:iCs/>
          <w:lang w:val="fr-FR" w:eastAsia="fr-FR"/>
        </w:rPr>
        <w:t>’</w:t>
      </w:r>
      <w:r w:rsidRPr="004560CD">
        <w:rPr>
          <w:rFonts w:eastAsia="Calibri"/>
          <w:bCs/>
          <w:iCs/>
          <w:lang w:val="fr-FR" w:eastAsia="fr-FR"/>
        </w:rPr>
        <w:t>intéressé a été soumis à une mesure de caractère automatique, sans aucune limitation quant à sa portée ni quant à sa durée (</w:t>
      </w:r>
      <w:r w:rsidRPr="004560CD">
        <w:rPr>
          <w:rFonts w:eastAsia="Calibri"/>
          <w:bCs/>
          <w:i/>
          <w:iCs/>
          <w:lang w:val="fr-FR" w:eastAsia="fr-FR"/>
        </w:rPr>
        <w:t>Riener,</w:t>
      </w:r>
      <w:r w:rsidRPr="004560CD">
        <w:rPr>
          <w:rFonts w:eastAsia="Calibri"/>
          <w:bCs/>
          <w:iCs/>
          <w:lang w:val="fr-FR" w:eastAsia="fr-FR"/>
        </w:rPr>
        <w:t xml:space="preserve"> précité, § 127). En outre, il n</w:t>
      </w:r>
      <w:r w:rsidR="004560CD" w:rsidRPr="004560CD">
        <w:rPr>
          <w:rFonts w:eastAsia="Calibri"/>
          <w:bCs/>
          <w:iCs/>
          <w:lang w:val="fr-FR" w:eastAsia="fr-FR"/>
        </w:rPr>
        <w:t>’</w:t>
      </w:r>
      <w:r w:rsidRPr="004560CD">
        <w:rPr>
          <w:rFonts w:eastAsia="Calibri"/>
          <w:bCs/>
          <w:iCs/>
          <w:lang w:val="fr-FR" w:eastAsia="fr-FR"/>
        </w:rPr>
        <w:t>a été procédé, par les juridictions internes, à aucun réexamen de la justification et de la proportionnalité de la mesure au regard des circonstances de l</w:t>
      </w:r>
      <w:r w:rsidR="004560CD" w:rsidRPr="004560CD">
        <w:rPr>
          <w:rFonts w:eastAsia="Calibri"/>
          <w:bCs/>
          <w:iCs/>
          <w:lang w:val="fr-FR" w:eastAsia="fr-FR"/>
        </w:rPr>
        <w:t>’</w:t>
      </w:r>
      <w:r w:rsidRPr="004560CD">
        <w:rPr>
          <w:rFonts w:eastAsia="Calibri"/>
          <w:bCs/>
          <w:iCs/>
          <w:lang w:val="fr-FR" w:eastAsia="fr-FR"/>
        </w:rPr>
        <w:t>espèce depuis 2008.</w:t>
      </w:r>
    </w:p>
    <w:p w:rsidR="005A16EE" w:rsidRPr="004560CD" w:rsidRDefault="005A16EE" w:rsidP="004560CD">
      <w:pPr>
        <w:pStyle w:val="ECHRPara"/>
        <w:rPr>
          <w:rFonts w:eastAsia="Calibri"/>
          <w:bCs/>
          <w:iCs/>
          <w:lang w:val="fr-FR" w:eastAsia="fr-FR"/>
        </w:rPr>
      </w:pPr>
      <w:r w:rsidRPr="004560CD">
        <w:rPr>
          <w:rFonts w:eastAsia="Calibri"/>
          <w:bCs/>
          <w:iCs/>
          <w:lang w:val="fr-FR" w:eastAsia="fr-FR"/>
        </w:rPr>
        <w:fldChar w:fldCharType="begin"/>
      </w:r>
      <w:r w:rsidRPr="004560CD">
        <w:rPr>
          <w:rFonts w:eastAsia="Calibri"/>
          <w:bCs/>
          <w:iCs/>
          <w:lang w:val="fr-FR" w:eastAsia="fr-FR"/>
        </w:rPr>
        <w:instrText xml:space="preserve"> SEQ level0 \*arabic </w:instrText>
      </w:r>
      <w:r w:rsidRPr="004560CD">
        <w:rPr>
          <w:rFonts w:eastAsia="Calibri"/>
          <w:bCs/>
          <w:iCs/>
          <w:lang w:val="fr-FR" w:eastAsia="fr-FR"/>
        </w:rPr>
        <w:fldChar w:fldCharType="separate"/>
      </w:r>
      <w:r w:rsidR="00FD759F">
        <w:rPr>
          <w:rFonts w:eastAsia="Calibri"/>
          <w:bCs/>
          <w:iCs/>
          <w:noProof/>
          <w:lang w:val="fr-FR" w:eastAsia="fr-FR"/>
        </w:rPr>
        <w:t>48</w:t>
      </w:r>
      <w:r w:rsidRPr="004560CD">
        <w:rPr>
          <w:rFonts w:eastAsia="Calibri"/>
          <w:bCs/>
          <w:iCs/>
          <w:lang w:val="fr-FR" w:eastAsia="fr-FR"/>
        </w:rPr>
        <w:fldChar w:fldCharType="end"/>
      </w:r>
      <w:r w:rsidRPr="004560CD">
        <w:rPr>
          <w:rFonts w:eastAsia="Calibri"/>
          <w:bCs/>
          <w:iCs/>
          <w:lang w:val="fr-FR" w:eastAsia="fr-FR"/>
        </w:rPr>
        <w:t>.  A la lumière de ce qui précède, la Cour considère que l</w:t>
      </w:r>
      <w:r w:rsidR="004560CD" w:rsidRPr="004560CD">
        <w:rPr>
          <w:rFonts w:eastAsia="Calibri"/>
          <w:bCs/>
          <w:iCs/>
          <w:lang w:val="fr-FR" w:eastAsia="fr-FR"/>
        </w:rPr>
        <w:t>’</w:t>
      </w:r>
      <w:r w:rsidRPr="004560CD">
        <w:rPr>
          <w:rFonts w:eastAsia="Calibri"/>
          <w:bCs/>
          <w:iCs/>
          <w:lang w:val="fr-FR" w:eastAsia="fr-FR"/>
        </w:rPr>
        <w:t>imposition automatique d</w:t>
      </w:r>
      <w:r w:rsidR="004560CD" w:rsidRPr="004560CD">
        <w:rPr>
          <w:rFonts w:eastAsia="Calibri"/>
          <w:bCs/>
          <w:iCs/>
          <w:lang w:val="fr-FR" w:eastAsia="fr-FR"/>
        </w:rPr>
        <w:t>’</w:t>
      </w:r>
      <w:r w:rsidRPr="004560CD">
        <w:rPr>
          <w:rFonts w:eastAsia="Calibri"/>
          <w:bCs/>
          <w:iCs/>
          <w:lang w:val="fr-FR" w:eastAsia="fr-FR"/>
        </w:rPr>
        <w:t>une telle mesure, pour une durée indéterminée, sans prise en compte des circonstances propres à l</w:t>
      </w:r>
      <w:r w:rsidR="004560CD" w:rsidRPr="004560CD">
        <w:rPr>
          <w:rFonts w:eastAsia="Calibri"/>
          <w:bCs/>
          <w:iCs/>
          <w:lang w:val="fr-FR" w:eastAsia="fr-FR"/>
        </w:rPr>
        <w:t>’</w:t>
      </w:r>
      <w:r w:rsidRPr="004560CD">
        <w:rPr>
          <w:rFonts w:eastAsia="Calibri"/>
          <w:bCs/>
          <w:iCs/>
          <w:lang w:val="fr-FR" w:eastAsia="fr-FR"/>
        </w:rPr>
        <w:t>intéressé, ne peut être qualifiée de nécessaire dans une société démocratique.</w:t>
      </w:r>
    </w:p>
    <w:p w:rsidR="005A16EE" w:rsidRPr="004560CD" w:rsidRDefault="005A16EE" w:rsidP="004560CD">
      <w:pPr>
        <w:pStyle w:val="ECHRPara"/>
        <w:rPr>
          <w:rFonts w:eastAsia="Calibri"/>
          <w:bCs/>
          <w:iCs/>
          <w:lang w:val="fr-FR" w:eastAsia="fr-FR"/>
        </w:rPr>
      </w:pPr>
      <w:r w:rsidRPr="004560CD">
        <w:rPr>
          <w:rFonts w:eastAsia="Calibri"/>
          <w:bCs/>
          <w:iCs/>
          <w:lang w:val="fr-FR" w:eastAsia="fr-FR"/>
        </w:rPr>
        <w:fldChar w:fldCharType="begin"/>
      </w:r>
      <w:r w:rsidRPr="004560CD">
        <w:rPr>
          <w:rFonts w:eastAsia="Calibri"/>
          <w:bCs/>
          <w:iCs/>
          <w:lang w:val="fr-FR" w:eastAsia="fr-FR"/>
        </w:rPr>
        <w:instrText xml:space="preserve"> SEQ level0 \*arabic </w:instrText>
      </w:r>
      <w:r w:rsidRPr="004560CD">
        <w:rPr>
          <w:rFonts w:eastAsia="Calibri"/>
          <w:bCs/>
          <w:iCs/>
          <w:lang w:val="fr-FR" w:eastAsia="fr-FR"/>
        </w:rPr>
        <w:fldChar w:fldCharType="separate"/>
      </w:r>
      <w:r w:rsidR="00FD759F">
        <w:rPr>
          <w:rFonts w:eastAsia="Calibri"/>
          <w:bCs/>
          <w:iCs/>
          <w:noProof/>
          <w:lang w:val="fr-FR" w:eastAsia="fr-FR"/>
        </w:rPr>
        <w:t>49</w:t>
      </w:r>
      <w:r w:rsidRPr="004560CD">
        <w:rPr>
          <w:rFonts w:eastAsia="Calibri"/>
          <w:bCs/>
          <w:iCs/>
          <w:lang w:val="fr-FR" w:eastAsia="fr-FR"/>
        </w:rPr>
        <w:fldChar w:fldCharType="end"/>
      </w:r>
      <w:r w:rsidRPr="004560CD">
        <w:rPr>
          <w:rFonts w:eastAsia="Calibri"/>
          <w:bCs/>
          <w:iCs/>
          <w:lang w:val="fr-FR" w:eastAsia="fr-FR"/>
        </w:rPr>
        <w:t>.  Il y a donc eu violation de l</w:t>
      </w:r>
      <w:r w:rsidR="004560CD" w:rsidRPr="004560CD">
        <w:rPr>
          <w:rFonts w:eastAsia="Calibri"/>
          <w:bCs/>
          <w:iCs/>
          <w:lang w:val="fr-FR" w:eastAsia="fr-FR"/>
        </w:rPr>
        <w:t>’</w:t>
      </w:r>
      <w:r w:rsidRPr="004560CD">
        <w:rPr>
          <w:rFonts w:eastAsia="Calibri"/>
          <w:bCs/>
          <w:iCs/>
          <w:lang w:val="fr-FR" w:eastAsia="fr-FR"/>
        </w:rPr>
        <w:t>article 2 du Protocole n</w:t>
      </w:r>
      <w:r w:rsidRPr="004560CD">
        <w:rPr>
          <w:rFonts w:eastAsia="Calibri"/>
          <w:bCs/>
          <w:iCs/>
          <w:vertAlign w:val="superscript"/>
          <w:lang w:val="fr-FR" w:eastAsia="fr-FR"/>
        </w:rPr>
        <w:t>o</w:t>
      </w:r>
      <w:r w:rsidRPr="004560CD">
        <w:rPr>
          <w:rFonts w:eastAsia="Calibri"/>
          <w:bCs/>
          <w:iCs/>
          <w:lang w:val="fr-FR" w:eastAsia="fr-FR"/>
        </w:rPr>
        <w:t> 4 à la Convention.</w:t>
      </w:r>
    </w:p>
    <w:p w:rsidR="005A16EE" w:rsidRPr="004560CD" w:rsidRDefault="005A16EE" w:rsidP="004560CD">
      <w:pPr>
        <w:pStyle w:val="ECHRHeading1"/>
        <w:rPr>
          <w:lang w:val="fr-FR" w:eastAsia="fr-FR"/>
        </w:rPr>
      </w:pPr>
      <w:r w:rsidRPr="004560CD">
        <w:rPr>
          <w:lang w:val="fr-FR" w:eastAsia="fr-FR"/>
        </w:rPr>
        <w:t>II. </w:t>
      </w:r>
      <w:r w:rsidR="0064410C" w:rsidRPr="004560CD">
        <w:rPr>
          <w:lang w:val="fr-FR" w:eastAsia="fr-FR"/>
        </w:rPr>
        <w:t> </w:t>
      </w:r>
      <w:r w:rsidRPr="004560CD">
        <w:rPr>
          <w:lang w:val="fr-FR" w:eastAsia="fr-FR"/>
        </w:rPr>
        <w:t>SUR LA VIOLATION ALLÉGUÉE DE L</w:t>
      </w:r>
      <w:r w:rsidR="004560CD" w:rsidRPr="004560CD">
        <w:rPr>
          <w:lang w:val="fr-FR" w:eastAsia="fr-FR"/>
        </w:rPr>
        <w:t>’</w:t>
      </w:r>
      <w:r w:rsidRPr="004560CD">
        <w:rPr>
          <w:lang w:val="fr-FR" w:eastAsia="fr-FR"/>
        </w:rPr>
        <w:t>ARTICLE</w:t>
      </w:r>
      <w:r w:rsidR="0064410C" w:rsidRPr="004560CD">
        <w:rPr>
          <w:lang w:val="fr-FR" w:eastAsia="fr-FR"/>
        </w:rPr>
        <w:t xml:space="preserve"> </w:t>
      </w:r>
      <w:r w:rsidRPr="004560CD">
        <w:rPr>
          <w:lang w:val="fr-FR" w:eastAsia="fr-FR"/>
        </w:rPr>
        <w:t>8 DE LA CONVENTION</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50</w:t>
      </w:r>
      <w:r w:rsidRPr="004560CD">
        <w:rPr>
          <w:noProof/>
          <w:lang w:val="fr-FR" w:eastAsia="fr-FR"/>
        </w:rPr>
        <w:fldChar w:fldCharType="end"/>
      </w:r>
      <w:r w:rsidRPr="004560CD">
        <w:rPr>
          <w:lang w:val="fr-FR" w:eastAsia="fr-FR"/>
        </w:rPr>
        <w:t>.  Le requérant allègue que la non-délivrance du passeport constitue une atteinte au respect de son droit à la vie privée tel que prévu par l</w:t>
      </w:r>
      <w:r w:rsidR="004560CD" w:rsidRPr="004560CD">
        <w:rPr>
          <w:lang w:val="fr-FR" w:eastAsia="fr-FR"/>
        </w:rPr>
        <w:t>’</w:t>
      </w:r>
      <w:r w:rsidRPr="004560CD">
        <w:rPr>
          <w:lang w:val="fr-FR" w:eastAsia="fr-FR"/>
        </w:rPr>
        <w:t>article 8 de la Convention, ainsi libellé :</w:t>
      </w:r>
    </w:p>
    <w:p w:rsidR="005A16EE" w:rsidRPr="004560CD" w:rsidRDefault="005A16EE" w:rsidP="004560CD">
      <w:pPr>
        <w:pStyle w:val="ECHRParaQuote"/>
        <w:rPr>
          <w:lang w:val="fr-FR" w:eastAsia="fr-FR"/>
        </w:rPr>
      </w:pPr>
      <w:r w:rsidRPr="004560CD">
        <w:rPr>
          <w:lang w:val="fr-FR" w:eastAsia="fr-FR"/>
        </w:rPr>
        <w:t>« 1.  Toute personne a droit au respect de sa vie privée et familiale, de son domicile et de sa correspondance.</w:t>
      </w:r>
    </w:p>
    <w:p w:rsidR="005A16EE" w:rsidRPr="004560CD" w:rsidRDefault="005A16EE" w:rsidP="004560CD">
      <w:pPr>
        <w:pStyle w:val="ECHRParaQuote"/>
        <w:rPr>
          <w:lang w:val="fr-FR" w:eastAsia="fr-FR"/>
        </w:rPr>
      </w:pPr>
      <w:r w:rsidRPr="004560CD">
        <w:rPr>
          <w:lang w:val="fr-FR" w:eastAsia="fr-FR"/>
        </w:rPr>
        <w:t>2.  Il ne peut y avoir ingérence d</w:t>
      </w:r>
      <w:r w:rsidR="004560CD" w:rsidRPr="004560CD">
        <w:rPr>
          <w:lang w:val="fr-FR" w:eastAsia="fr-FR"/>
        </w:rPr>
        <w:t>’</w:t>
      </w:r>
      <w:r w:rsidRPr="004560CD">
        <w:rPr>
          <w:lang w:val="fr-FR" w:eastAsia="fr-FR"/>
        </w:rPr>
        <w:t>une autorité publique dans l</w:t>
      </w:r>
      <w:r w:rsidR="004560CD" w:rsidRPr="004560CD">
        <w:rPr>
          <w:lang w:val="fr-FR" w:eastAsia="fr-FR"/>
        </w:rPr>
        <w:t>’</w:t>
      </w:r>
      <w:r w:rsidRPr="004560CD">
        <w:rPr>
          <w:lang w:val="fr-FR" w:eastAsia="fr-FR"/>
        </w:rPr>
        <w:t>exercice de ce droit que pour autant que cette ingérence est prévue par la loi et qu</w:t>
      </w:r>
      <w:r w:rsidR="004560CD" w:rsidRPr="004560CD">
        <w:rPr>
          <w:lang w:val="fr-FR" w:eastAsia="fr-FR"/>
        </w:rPr>
        <w:t>’</w:t>
      </w:r>
      <w:r w:rsidRPr="004560CD">
        <w:rPr>
          <w:lang w:val="fr-FR" w:eastAsia="fr-FR"/>
        </w:rPr>
        <w:t>elle constitue une mesure qui, dans une société démocratique, est nécessaire à la sécurité nationale, à la sûreté publique, au bien</w:t>
      </w:r>
      <w:r w:rsidRPr="004560CD">
        <w:rPr>
          <w:lang w:val="fr-FR" w:eastAsia="fr-FR"/>
        </w:rPr>
        <w:noBreakHyphen/>
        <w:t>être économique du pays, à la défense de l</w:t>
      </w:r>
      <w:r w:rsidR="004560CD" w:rsidRPr="004560CD">
        <w:rPr>
          <w:lang w:val="fr-FR" w:eastAsia="fr-FR"/>
        </w:rPr>
        <w:t>’</w:t>
      </w:r>
      <w:r w:rsidRPr="004560CD">
        <w:rPr>
          <w:lang w:val="fr-FR" w:eastAsia="fr-FR"/>
        </w:rPr>
        <w:t>ordre et à la prévention des infractions pénales, à la protection de la santé ou de la morale, ou à la protection des droits et libertés d</w:t>
      </w:r>
      <w:r w:rsidR="004560CD" w:rsidRPr="004560CD">
        <w:rPr>
          <w:lang w:val="fr-FR" w:eastAsia="fr-FR"/>
        </w:rPr>
        <w:t>’</w:t>
      </w:r>
      <w:r w:rsidRPr="004560CD">
        <w:rPr>
          <w:lang w:val="fr-FR" w:eastAsia="fr-FR"/>
        </w:rPr>
        <w:t>autrui. »</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51</w:t>
      </w:r>
      <w:r w:rsidRPr="004560CD">
        <w:rPr>
          <w:noProof/>
          <w:lang w:val="fr-FR" w:eastAsia="fr-FR"/>
        </w:rPr>
        <w:fldChar w:fldCharType="end"/>
      </w:r>
      <w:r w:rsidRPr="004560CD">
        <w:rPr>
          <w:lang w:val="fr-FR" w:eastAsia="fr-FR"/>
        </w:rPr>
        <w:t>.  La Cour relève que ce grief, tel qu</w:t>
      </w:r>
      <w:r w:rsidR="004560CD" w:rsidRPr="004560CD">
        <w:rPr>
          <w:lang w:val="fr-FR" w:eastAsia="fr-FR"/>
        </w:rPr>
        <w:t>’</w:t>
      </w:r>
      <w:r w:rsidRPr="004560CD">
        <w:rPr>
          <w:lang w:val="fr-FR" w:eastAsia="fr-FR"/>
        </w:rPr>
        <w:t>il a été présenté par le requérant, est étroitement lié à celui tiré de l</w:t>
      </w:r>
      <w:r w:rsidR="004560CD" w:rsidRPr="004560CD">
        <w:rPr>
          <w:lang w:val="fr-FR" w:eastAsia="fr-FR"/>
        </w:rPr>
        <w:t>’</w:t>
      </w:r>
      <w:r w:rsidRPr="004560CD">
        <w:rPr>
          <w:lang w:val="fr-FR" w:eastAsia="fr-FR"/>
        </w:rPr>
        <w:t>article 2 du Protocole n</w:t>
      </w:r>
      <w:r w:rsidRPr="004560CD">
        <w:rPr>
          <w:vertAlign w:val="superscript"/>
          <w:lang w:val="fr-FR" w:eastAsia="fr-FR"/>
        </w:rPr>
        <w:t>o </w:t>
      </w:r>
      <w:r w:rsidRPr="004560CD">
        <w:rPr>
          <w:lang w:val="fr-FR" w:eastAsia="fr-FR"/>
        </w:rPr>
        <w:t xml:space="preserve"> 4, examiné ci-dessus, et doit donc lui aussi être déclaré recevable.</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52</w:t>
      </w:r>
      <w:r w:rsidRPr="004560CD">
        <w:rPr>
          <w:lang w:val="fr-FR" w:eastAsia="fr-FR"/>
        </w:rPr>
        <w:fldChar w:fldCharType="end"/>
      </w:r>
      <w:r w:rsidRPr="004560CD">
        <w:rPr>
          <w:lang w:val="fr-FR" w:eastAsia="fr-FR"/>
        </w:rPr>
        <w:t>.  Eu égard aux conclusions auxquelles elle est parvenue plus haut (paragraphes 48 et 49 ci-dessus),</w:t>
      </w:r>
      <w:r w:rsidRPr="004560CD">
        <w:rPr>
          <w:lang w:val="fr-FR"/>
        </w:rPr>
        <w:t xml:space="preserve"> </w:t>
      </w:r>
      <w:r w:rsidRPr="004560CD">
        <w:rPr>
          <w:lang w:val="fr-FR" w:eastAsia="fr-FR"/>
        </w:rPr>
        <w:t>la Cour ne juge pas nécessaire de l</w:t>
      </w:r>
      <w:r w:rsidR="004560CD" w:rsidRPr="004560CD">
        <w:rPr>
          <w:lang w:val="fr-FR" w:eastAsia="fr-FR"/>
        </w:rPr>
        <w:t>’</w:t>
      </w:r>
      <w:r w:rsidRPr="004560CD">
        <w:rPr>
          <w:lang w:val="fr-FR" w:eastAsia="fr-FR"/>
        </w:rPr>
        <w:t>examiner séparément.</w:t>
      </w:r>
    </w:p>
    <w:p w:rsidR="005A16EE" w:rsidRPr="004560CD" w:rsidRDefault="005A16EE" w:rsidP="004560CD">
      <w:pPr>
        <w:pStyle w:val="ECHRHeading1"/>
        <w:rPr>
          <w:lang w:val="fr-FR" w:eastAsia="fr-FR"/>
        </w:rPr>
      </w:pPr>
      <w:r w:rsidRPr="004560CD">
        <w:rPr>
          <w:lang w:val="fr-FR" w:eastAsia="fr-FR"/>
        </w:rPr>
        <w:t>III.  SUR LES AUTRES VIOLATIONS ALLÉGUÉES</w:t>
      </w:r>
    </w:p>
    <w:p w:rsidR="005A16EE" w:rsidRPr="004560CD" w:rsidRDefault="005A16EE" w:rsidP="004560CD">
      <w:pPr>
        <w:pStyle w:val="ECHRPara"/>
        <w:rPr>
          <w:rFonts w:ascii="Times New Roman" w:eastAsiaTheme="minorHAnsi" w:hAnsi="Times New Roman" w:cs="Times New Roman"/>
          <w:szCs w:val="24"/>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53</w:t>
      </w:r>
      <w:r w:rsidRPr="004560CD">
        <w:rPr>
          <w:noProof/>
          <w:lang w:val="fr-FR" w:eastAsia="fr-FR"/>
        </w:rPr>
        <w:fldChar w:fldCharType="end"/>
      </w:r>
      <w:r w:rsidRPr="004560CD">
        <w:rPr>
          <w:lang w:val="fr-FR" w:eastAsia="fr-FR"/>
        </w:rPr>
        <w:t>.  Le requérant allègue une méconnaissance de l</w:t>
      </w:r>
      <w:r w:rsidR="004560CD" w:rsidRPr="004560CD">
        <w:rPr>
          <w:lang w:val="fr-FR" w:eastAsia="fr-FR"/>
        </w:rPr>
        <w:t>’</w:t>
      </w:r>
      <w:r w:rsidRPr="004560CD">
        <w:rPr>
          <w:lang w:val="fr-FR" w:eastAsia="fr-FR"/>
        </w:rPr>
        <w:t>article 5 du Protocole n</w:t>
      </w:r>
      <w:r w:rsidRPr="004560CD">
        <w:rPr>
          <w:vertAlign w:val="superscript"/>
          <w:lang w:val="fr-FR" w:eastAsia="fr-FR"/>
        </w:rPr>
        <w:t>o </w:t>
      </w:r>
      <w:r w:rsidRPr="004560CD">
        <w:rPr>
          <w:lang w:val="fr-FR" w:eastAsia="fr-FR"/>
        </w:rPr>
        <w:t>7 du fait que la mère de ses enfants bénéficierait d</w:t>
      </w:r>
      <w:r w:rsidR="004560CD" w:rsidRPr="004560CD">
        <w:rPr>
          <w:lang w:val="fr-FR" w:eastAsia="fr-FR"/>
        </w:rPr>
        <w:t>’</w:t>
      </w:r>
      <w:r w:rsidRPr="004560CD">
        <w:rPr>
          <w:lang w:val="fr-FR" w:eastAsia="fr-FR"/>
        </w:rPr>
        <w:t>un traitement préférentiel en ce qu</w:t>
      </w:r>
      <w:r w:rsidR="004560CD" w:rsidRPr="004560CD">
        <w:rPr>
          <w:lang w:val="fr-FR" w:eastAsia="fr-FR"/>
        </w:rPr>
        <w:t>’</w:t>
      </w:r>
      <w:r w:rsidRPr="004560CD">
        <w:rPr>
          <w:lang w:val="fr-FR" w:eastAsia="fr-FR"/>
        </w:rPr>
        <w:t>elle a obtenu, contrairement à lui, l</w:t>
      </w:r>
      <w:r w:rsidR="004560CD" w:rsidRPr="004560CD">
        <w:rPr>
          <w:lang w:val="fr-FR" w:eastAsia="fr-FR"/>
        </w:rPr>
        <w:t>’</w:t>
      </w:r>
      <w:r w:rsidRPr="004560CD">
        <w:rPr>
          <w:lang w:val="fr-FR" w:eastAsia="fr-FR"/>
        </w:rPr>
        <w:t>insertion du nom des enfants sur son propre passeport.</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54</w:t>
      </w:r>
      <w:r w:rsidRPr="004560CD">
        <w:rPr>
          <w:lang w:val="fr-FR" w:eastAsia="fr-FR"/>
        </w:rPr>
        <w:fldChar w:fldCharType="end"/>
      </w:r>
      <w:r w:rsidRPr="004560CD">
        <w:rPr>
          <w:lang w:val="fr-FR" w:eastAsia="fr-FR"/>
        </w:rPr>
        <w:t>.  La Cour note tout d</w:t>
      </w:r>
      <w:r w:rsidR="004560CD" w:rsidRPr="004560CD">
        <w:rPr>
          <w:lang w:val="fr-FR" w:eastAsia="fr-FR"/>
        </w:rPr>
        <w:t>’</w:t>
      </w:r>
      <w:r w:rsidRPr="004560CD">
        <w:rPr>
          <w:lang w:val="fr-FR" w:eastAsia="fr-FR"/>
        </w:rPr>
        <w:t>abord que ce grief n</w:t>
      </w:r>
      <w:r w:rsidR="004560CD" w:rsidRPr="004560CD">
        <w:rPr>
          <w:lang w:val="fr-FR" w:eastAsia="fr-FR"/>
        </w:rPr>
        <w:t>’</w:t>
      </w:r>
      <w:r w:rsidRPr="004560CD">
        <w:rPr>
          <w:lang w:val="fr-FR" w:eastAsia="fr-FR"/>
        </w:rPr>
        <w:t>est pas étayé. Pour autant qu</w:t>
      </w:r>
      <w:r w:rsidR="004560CD" w:rsidRPr="004560CD">
        <w:rPr>
          <w:lang w:val="fr-FR" w:eastAsia="fr-FR"/>
        </w:rPr>
        <w:t>’</w:t>
      </w:r>
      <w:r w:rsidRPr="004560CD">
        <w:rPr>
          <w:lang w:val="fr-FR" w:eastAsia="fr-FR"/>
        </w:rPr>
        <w:t>il soulève une question distincte de celle examinée plus haut et dans la mesure où elle est compétente pour connaître des allégations formulées, la Cour ne relève aucune apparence de violation des droits et des libertés garantis par la Convention. Partant, elle déclare ce grief irrecevable.</w:t>
      </w:r>
    </w:p>
    <w:p w:rsidR="005A16EE" w:rsidRPr="004560CD" w:rsidRDefault="005A16EE" w:rsidP="004560CD">
      <w:pPr>
        <w:pStyle w:val="ECHRHeading1"/>
        <w:rPr>
          <w:lang w:val="fr-FR" w:eastAsia="fr-FR"/>
        </w:rPr>
      </w:pPr>
      <w:r w:rsidRPr="004560CD">
        <w:rPr>
          <w:lang w:val="fr-FR" w:eastAsia="fr-FR"/>
        </w:rPr>
        <w:t>IV.  SUR L</w:t>
      </w:r>
      <w:r w:rsidR="004560CD" w:rsidRPr="004560CD">
        <w:rPr>
          <w:lang w:val="fr-FR" w:eastAsia="fr-FR"/>
        </w:rPr>
        <w:t>’</w:t>
      </w:r>
      <w:r w:rsidRPr="004560CD">
        <w:rPr>
          <w:lang w:val="fr-FR" w:eastAsia="fr-FR"/>
        </w:rPr>
        <w:t>APPLICATION DE L</w:t>
      </w:r>
      <w:r w:rsidR="004560CD" w:rsidRPr="004560CD">
        <w:rPr>
          <w:lang w:val="fr-FR" w:eastAsia="fr-FR"/>
        </w:rPr>
        <w:t>’</w:t>
      </w:r>
      <w:r w:rsidRPr="004560CD">
        <w:rPr>
          <w:lang w:val="fr-FR" w:eastAsia="fr-FR"/>
        </w:rPr>
        <w:t>ARTICLE 41 DE LA CONVENTION</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55</w:t>
      </w:r>
      <w:r w:rsidRPr="004560CD">
        <w:rPr>
          <w:lang w:val="fr-FR" w:eastAsia="fr-FR"/>
        </w:rPr>
        <w:fldChar w:fldCharType="end"/>
      </w:r>
      <w:r w:rsidRPr="004560CD">
        <w:rPr>
          <w:lang w:val="fr-FR" w:eastAsia="fr-FR"/>
        </w:rPr>
        <w:t>.  Aux termes de l</w:t>
      </w:r>
      <w:r w:rsidR="004560CD" w:rsidRPr="004560CD">
        <w:rPr>
          <w:lang w:val="fr-FR" w:eastAsia="fr-FR"/>
        </w:rPr>
        <w:t>’</w:t>
      </w:r>
      <w:r w:rsidRPr="004560CD">
        <w:rPr>
          <w:lang w:val="fr-FR" w:eastAsia="fr-FR"/>
        </w:rPr>
        <w:t>article 41 de la Convention,</w:t>
      </w:r>
    </w:p>
    <w:p w:rsidR="005A16EE" w:rsidRPr="004560CD" w:rsidRDefault="005A16EE" w:rsidP="004560CD">
      <w:pPr>
        <w:pStyle w:val="ECHRParaQuote"/>
        <w:rPr>
          <w:lang w:val="fr-FR" w:eastAsia="fr-FR"/>
        </w:rPr>
      </w:pPr>
      <w:r w:rsidRPr="004560CD">
        <w:rPr>
          <w:lang w:val="fr-FR" w:eastAsia="fr-FR"/>
        </w:rPr>
        <w:t>« Si la Cour déclare qu</w:t>
      </w:r>
      <w:r w:rsidR="004560CD" w:rsidRPr="004560CD">
        <w:rPr>
          <w:lang w:val="fr-FR" w:eastAsia="fr-FR"/>
        </w:rPr>
        <w:t>’</w:t>
      </w:r>
      <w:r w:rsidRPr="004560CD">
        <w:rPr>
          <w:lang w:val="fr-FR" w:eastAsia="fr-FR"/>
        </w:rPr>
        <w:t>il y a eu violation de la Convention ou de ses Protocoles, et si le droit interne de la Haute Partie contractante ne permet d</w:t>
      </w:r>
      <w:r w:rsidR="004560CD" w:rsidRPr="004560CD">
        <w:rPr>
          <w:lang w:val="fr-FR" w:eastAsia="fr-FR"/>
        </w:rPr>
        <w:t>’</w:t>
      </w:r>
      <w:r w:rsidRPr="004560CD">
        <w:rPr>
          <w:lang w:val="fr-FR" w:eastAsia="fr-FR"/>
        </w:rPr>
        <w:t>effacer qu</w:t>
      </w:r>
      <w:r w:rsidR="004560CD" w:rsidRPr="004560CD">
        <w:rPr>
          <w:lang w:val="fr-FR" w:eastAsia="fr-FR"/>
        </w:rPr>
        <w:t>’</w:t>
      </w:r>
      <w:r w:rsidRPr="004560CD">
        <w:rPr>
          <w:lang w:val="fr-FR" w:eastAsia="fr-FR"/>
        </w:rPr>
        <w:t>imparfaitement les conséquences de cette violation, la Cour accorde à la partie lésée, s</w:t>
      </w:r>
      <w:r w:rsidR="004560CD" w:rsidRPr="004560CD">
        <w:rPr>
          <w:lang w:val="fr-FR" w:eastAsia="fr-FR"/>
        </w:rPr>
        <w:t>’</w:t>
      </w:r>
      <w:r w:rsidRPr="004560CD">
        <w:rPr>
          <w:lang w:val="fr-FR" w:eastAsia="fr-FR"/>
        </w:rPr>
        <w:t>il y a lieu, une satisfaction équitable. »</w:t>
      </w:r>
    </w:p>
    <w:p w:rsidR="005A16EE" w:rsidRPr="004560CD" w:rsidRDefault="005A16EE" w:rsidP="004560CD">
      <w:pPr>
        <w:pStyle w:val="ECHRHeading2"/>
        <w:rPr>
          <w:lang w:val="fr-FR" w:eastAsia="fr-FR"/>
        </w:rPr>
      </w:pPr>
      <w:r w:rsidRPr="004560CD">
        <w:rPr>
          <w:lang w:val="fr-FR" w:eastAsia="fr-FR"/>
        </w:rPr>
        <w:t>A.  Dommage</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56</w:t>
      </w:r>
      <w:r w:rsidRPr="004560CD">
        <w:rPr>
          <w:lang w:val="fr-FR" w:eastAsia="fr-FR"/>
        </w:rPr>
        <w:fldChar w:fldCharType="end"/>
      </w:r>
      <w:r w:rsidRPr="004560CD">
        <w:rPr>
          <w:lang w:val="fr-FR" w:eastAsia="fr-FR"/>
        </w:rPr>
        <w:t>.  Le requérant réclame 30 000 euros (EUR) au titre du préjudice et moral qu</w:t>
      </w:r>
      <w:r w:rsidR="004560CD" w:rsidRPr="004560CD">
        <w:rPr>
          <w:lang w:val="fr-FR" w:eastAsia="fr-FR"/>
        </w:rPr>
        <w:t>’</w:t>
      </w:r>
      <w:r w:rsidRPr="004560CD">
        <w:rPr>
          <w:lang w:val="fr-FR" w:eastAsia="fr-FR"/>
        </w:rPr>
        <w:t>il dit avoir subi en son nom et en nom de ses enfants à cause de l</w:t>
      </w:r>
      <w:r w:rsidR="004560CD" w:rsidRPr="004560CD">
        <w:rPr>
          <w:lang w:val="fr-FR" w:eastAsia="fr-FR"/>
        </w:rPr>
        <w:t>’</w:t>
      </w:r>
      <w:r w:rsidRPr="004560CD">
        <w:rPr>
          <w:lang w:val="fr-FR" w:eastAsia="fr-FR"/>
        </w:rPr>
        <w:t>impossibilité de se rendre à l</w:t>
      </w:r>
      <w:r w:rsidR="004560CD" w:rsidRPr="004560CD">
        <w:rPr>
          <w:lang w:val="fr-FR" w:eastAsia="fr-FR"/>
        </w:rPr>
        <w:t>’</w:t>
      </w:r>
      <w:r w:rsidRPr="004560CD">
        <w:rPr>
          <w:lang w:val="fr-FR" w:eastAsia="fr-FR"/>
        </w:rPr>
        <w:t>étranger.</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57</w:t>
      </w:r>
      <w:r w:rsidRPr="004560CD">
        <w:rPr>
          <w:lang w:val="fr-FR" w:eastAsia="fr-FR"/>
        </w:rPr>
        <w:fldChar w:fldCharType="end"/>
      </w:r>
      <w:r w:rsidRPr="004560CD">
        <w:rPr>
          <w:lang w:val="fr-FR" w:eastAsia="fr-FR"/>
        </w:rPr>
        <w:t>.  Le Gouvernement conteste cette prétention. Il estime que le montant sollicité est en tout état de cause excessif et non conforme aux paramètres de liquidation de la Cour</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58</w:t>
      </w:r>
      <w:r w:rsidRPr="004560CD">
        <w:rPr>
          <w:lang w:val="fr-FR" w:eastAsia="fr-FR"/>
        </w:rPr>
        <w:fldChar w:fldCharType="end"/>
      </w:r>
      <w:r w:rsidRPr="004560CD">
        <w:rPr>
          <w:lang w:val="fr-FR" w:eastAsia="fr-FR"/>
        </w:rPr>
        <w:t>.  La Cour considère qu</w:t>
      </w:r>
      <w:r w:rsidR="004560CD" w:rsidRPr="004560CD">
        <w:rPr>
          <w:lang w:val="fr-FR" w:eastAsia="fr-FR"/>
        </w:rPr>
        <w:t>’</w:t>
      </w:r>
      <w:r w:rsidRPr="004560CD">
        <w:rPr>
          <w:lang w:val="fr-FR" w:eastAsia="fr-FR"/>
        </w:rPr>
        <w:t>il y a lieu d</w:t>
      </w:r>
      <w:r w:rsidR="004560CD" w:rsidRPr="004560CD">
        <w:rPr>
          <w:lang w:val="fr-FR" w:eastAsia="fr-FR"/>
        </w:rPr>
        <w:t>’</w:t>
      </w:r>
      <w:r w:rsidRPr="004560CD">
        <w:rPr>
          <w:lang w:val="fr-FR" w:eastAsia="fr-FR"/>
        </w:rPr>
        <w:t>octroyer au requérant 5</w:t>
      </w:r>
      <w:r w:rsidR="00755C84" w:rsidRPr="004560CD">
        <w:rPr>
          <w:lang w:val="fr-FR" w:eastAsia="fr-FR"/>
        </w:rPr>
        <w:t> </w:t>
      </w:r>
      <w:r w:rsidRPr="004560CD">
        <w:rPr>
          <w:lang w:val="fr-FR" w:eastAsia="fr-FR"/>
        </w:rPr>
        <w:t>000</w:t>
      </w:r>
      <w:r w:rsidR="00755C84" w:rsidRPr="004560CD">
        <w:rPr>
          <w:lang w:val="fr-FR" w:eastAsia="fr-FR"/>
        </w:rPr>
        <w:t> </w:t>
      </w:r>
      <w:r w:rsidRPr="004560CD">
        <w:rPr>
          <w:lang w:val="fr-FR" w:eastAsia="fr-FR"/>
        </w:rPr>
        <w:t>EUR au titre du préjudice moral.</w:t>
      </w:r>
    </w:p>
    <w:p w:rsidR="005A16EE" w:rsidRPr="004560CD" w:rsidRDefault="005A16EE" w:rsidP="004560CD">
      <w:pPr>
        <w:pStyle w:val="ECHRHeading2"/>
        <w:rPr>
          <w:lang w:val="fr-FR" w:eastAsia="fr-FR"/>
        </w:rPr>
      </w:pPr>
      <w:r w:rsidRPr="004560CD">
        <w:rPr>
          <w:lang w:val="fr-FR" w:eastAsia="fr-FR"/>
        </w:rPr>
        <w:t>B.  Frais et dépens</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59</w:t>
      </w:r>
      <w:r w:rsidRPr="004560CD">
        <w:rPr>
          <w:lang w:val="fr-FR" w:eastAsia="fr-FR"/>
        </w:rPr>
        <w:fldChar w:fldCharType="end"/>
      </w:r>
      <w:r w:rsidRPr="004560CD">
        <w:rPr>
          <w:lang w:val="fr-FR" w:eastAsia="fr-FR"/>
        </w:rPr>
        <w:t>.  Sans justificatifs à l</w:t>
      </w:r>
      <w:r w:rsidR="004560CD" w:rsidRPr="004560CD">
        <w:rPr>
          <w:lang w:val="fr-FR" w:eastAsia="fr-FR"/>
        </w:rPr>
        <w:t>’</w:t>
      </w:r>
      <w:r w:rsidRPr="004560CD">
        <w:rPr>
          <w:lang w:val="fr-FR" w:eastAsia="fr-FR"/>
        </w:rPr>
        <w:t>appui, le requérant demande également 20 000 EUR pour les frais et dépens engagés devant les juridictions internes et devant la Cour.</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60</w:t>
      </w:r>
      <w:r w:rsidRPr="004560CD">
        <w:rPr>
          <w:lang w:val="fr-FR" w:eastAsia="fr-FR"/>
        </w:rPr>
        <w:fldChar w:fldCharType="end"/>
      </w:r>
      <w:r w:rsidRPr="004560CD">
        <w:rPr>
          <w:lang w:val="fr-FR" w:eastAsia="fr-FR"/>
        </w:rPr>
        <w:t>.  Le Gouvernement considère ce montant excessif et soutient que le requérant n</w:t>
      </w:r>
      <w:r w:rsidR="004560CD" w:rsidRPr="004560CD">
        <w:rPr>
          <w:lang w:val="fr-FR" w:eastAsia="fr-FR"/>
        </w:rPr>
        <w:t>’</w:t>
      </w:r>
      <w:r w:rsidRPr="004560CD">
        <w:rPr>
          <w:lang w:val="fr-FR" w:eastAsia="fr-FR"/>
        </w:rPr>
        <w:t>a pas démontré que les frais et dépens allégués étaient nécessaires et raisonnables.</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61</w:t>
      </w:r>
      <w:r w:rsidRPr="004560CD">
        <w:rPr>
          <w:lang w:val="fr-FR" w:eastAsia="fr-FR"/>
        </w:rPr>
        <w:fldChar w:fldCharType="end"/>
      </w:r>
      <w:r w:rsidRPr="004560CD">
        <w:rPr>
          <w:lang w:val="fr-FR" w:eastAsia="fr-FR"/>
        </w:rPr>
        <w:t>.  Selon la jurisprudence de la Cour, un requérant ne peut obtenir le remboursement de ses frais et dépens que dans la mesure où se trouvent établis leur réalité, leur nécessité et le caractère raisonnable de leur taux. En l</w:t>
      </w:r>
      <w:r w:rsidR="004560CD" w:rsidRPr="004560CD">
        <w:rPr>
          <w:lang w:val="fr-FR" w:eastAsia="fr-FR"/>
        </w:rPr>
        <w:t>’</w:t>
      </w:r>
      <w:r w:rsidRPr="004560CD">
        <w:rPr>
          <w:lang w:val="fr-FR" w:eastAsia="fr-FR"/>
        </w:rPr>
        <w:t>espèce, la Cour relève que le requérant n</w:t>
      </w:r>
      <w:r w:rsidR="004560CD" w:rsidRPr="004560CD">
        <w:rPr>
          <w:lang w:val="fr-FR" w:eastAsia="fr-FR"/>
        </w:rPr>
        <w:t>’</w:t>
      </w:r>
      <w:r w:rsidRPr="004560CD">
        <w:rPr>
          <w:lang w:val="fr-FR" w:eastAsia="fr-FR"/>
        </w:rPr>
        <w:t>a pas fourni de justificatifs à l</w:t>
      </w:r>
      <w:r w:rsidR="004560CD" w:rsidRPr="004560CD">
        <w:rPr>
          <w:lang w:val="fr-FR" w:eastAsia="fr-FR"/>
        </w:rPr>
        <w:t>’</w:t>
      </w:r>
      <w:r w:rsidRPr="004560CD">
        <w:rPr>
          <w:lang w:val="fr-FR" w:eastAsia="fr-FR"/>
        </w:rPr>
        <w:t>appui de sa demande et décide de ne rien allouer à ce titre.</w:t>
      </w:r>
    </w:p>
    <w:p w:rsidR="005A16EE" w:rsidRPr="004560CD" w:rsidRDefault="005A16EE" w:rsidP="004560CD">
      <w:pPr>
        <w:pStyle w:val="ECHRHeading2"/>
        <w:rPr>
          <w:lang w:val="fr-FR" w:eastAsia="fr-FR"/>
        </w:rPr>
      </w:pPr>
      <w:r w:rsidRPr="004560CD">
        <w:rPr>
          <w:lang w:val="fr-FR" w:eastAsia="fr-FR"/>
        </w:rPr>
        <w:t>C.  Intérêts moratoires</w:t>
      </w:r>
    </w:p>
    <w:p w:rsidR="005A16EE" w:rsidRPr="004560CD" w:rsidRDefault="005A16EE" w:rsidP="004560CD">
      <w:pPr>
        <w:pStyle w:val="ECHRPara"/>
        <w:rPr>
          <w:lang w:val="fr-FR" w:eastAsia="fr-FR"/>
        </w:rPr>
      </w:pPr>
      <w:r w:rsidRPr="004560CD">
        <w:rPr>
          <w:lang w:val="fr-FR" w:eastAsia="fr-FR"/>
        </w:rPr>
        <w:fldChar w:fldCharType="begin"/>
      </w:r>
      <w:r w:rsidRPr="004560CD">
        <w:rPr>
          <w:lang w:val="fr-FR" w:eastAsia="fr-FR"/>
        </w:rPr>
        <w:instrText xml:space="preserve"> SEQ level0 \*arabic </w:instrText>
      </w:r>
      <w:r w:rsidRPr="004560CD">
        <w:rPr>
          <w:lang w:val="fr-FR" w:eastAsia="fr-FR"/>
        </w:rPr>
        <w:fldChar w:fldCharType="separate"/>
      </w:r>
      <w:r w:rsidR="00FD759F">
        <w:rPr>
          <w:noProof/>
          <w:lang w:val="fr-FR" w:eastAsia="fr-FR"/>
        </w:rPr>
        <w:t>62</w:t>
      </w:r>
      <w:r w:rsidRPr="004560CD">
        <w:rPr>
          <w:lang w:val="fr-FR" w:eastAsia="fr-FR"/>
        </w:rPr>
        <w:fldChar w:fldCharType="end"/>
      </w:r>
      <w:r w:rsidRPr="004560CD">
        <w:rPr>
          <w:lang w:val="fr-FR" w:eastAsia="fr-FR"/>
        </w:rPr>
        <w:t>.  La Cour juge approprié de calquer le taux des intérêts moratoires sur le taux d</w:t>
      </w:r>
      <w:r w:rsidR="004560CD" w:rsidRPr="004560CD">
        <w:rPr>
          <w:lang w:val="fr-FR" w:eastAsia="fr-FR"/>
        </w:rPr>
        <w:t>’</w:t>
      </w:r>
      <w:r w:rsidRPr="004560CD">
        <w:rPr>
          <w:lang w:val="fr-FR" w:eastAsia="fr-FR"/>
        </w:rPr>
        <w:t>intérêt de la facilité de prêt marginal de la Banque centrale européenne majoré de trois points de pourcentage.</w:t>
      </w:r>
    </w:p>
    <w:p w:rsidR="005A16EE" w:rsidRPr="004560CD" w:rsidRDefault="005A16EE" w:rsidP="004560CD">
      <w:pPr>
        <w:pStyle w:val="ECHRTitle1"/>
        <w:rPr>
          <w:lang w:val="fr-FR" w:eastAsia="fr-FR"/>
        </w:rPr>
      </w:pPr>
      <w:r w:rsidRPr="004560CD">
        <w:rPr>
          <w:lang w:val="fr-FR" w:eastAsia="fr-FR"/>
        </w:rPr>
        <w:t>PAR CES MOTIFS, LA COUR</w:t>
      </w:r>
      <w:r w:rsidR="00325FA6" w:rsidRPr="004560CD">
        <w:rPr>
          <w:lang w:val="fr-FR" w:eastAsia="fr-FR"/>
        </w:rPr>
        <w:t>,</w:t>
      </w:r>
    </w:p>
    <w:p w:rsidR="00325FA6" w:rsidRPr="004560CD" w:rsidRDefault="00325FA6" w:rsidP="004560CD">
      <w:pPr>
        <w:pStyle w:val="JuList"/>
        <w:rPr>
          <w:lang w:val="fr-FR"/>
        </w:rPr>
      </w:pPr>
      <w:r w:rsidRPr="004560CD">
        <w:rPr>
          <w:lang w:val="fr-FR"/>
        </w:rPr>
        <w:t>1.  </w:t>
      </w:r>
      <w:r w:rsidRPr="004560CD">
        <w:rPr>
          <w:i/>
          <w:lang w:val="fr-FR"/>
        </w:rPr>
        <w:t>Déclare</w:t>
      </w:r>
      <w:r w:rsidRPr="004560CD">
        <w:rPr>
          <w:lang w:val="fr-FR"/>
        </w:rPr>
        <w:t>, à l</w:t>
      </w:r>
      <w:r w:rsidR="004560CD" w:rsidRPr="004560CD">
        <w:rPr>
          <w:lang w:val="fr-FR"/>
        </w:rPr>
        <w:t>’</w:t>
      </w:r>
      <w:r w:rsidRPr="004560CD">
        <w:rPr>
          <w:lang w:val="fr-FR"/>
        </w:rPr>
        <w:t>unanimité, la requête recevable quant aux griefs tirés des articles  2 du Protocole n</w:t>
      </w:r>
      <w:r w:rsidRPr="004560CD">
        <w:rPr>
          <w:vertAlign w:val="superscript"/>
          <w:lang w:val="fr-FR"/>
        </w:rPr>
        <w:t>o</w:t>
      </w:r>
      <w:r w:rsidRPr="004560CD">
        <w:rPr>
          <w:lang w:val="fr-FR"/>
        </w:rPr>
        <w:t> 4 et 8 de la Convention,</w:t>
      </w:r>
    </w:p>
    <w:p w:rsidR="00325FA6" w:rsidRPr="004560CD" w:rsidRDefault="00325FA6" w:rsidP="004560CD">
      <w:pPr>
        <w:pStyle w:val="JuList"/>
        <w:rPr>
          <w:lang w:val="fr-FR"/>
        </w:rPr>
      </w:pPr>
    </w:p>
    <w:p w:rsidR="00325FA6" w:rsidRPr="004560CD" w:rsidRDefault="00325FA6" w:rsidP="004560CD">
      <w:pPr>
        <w:pStyle w:val="JuList"/>
        <w:rPr>
          <w:lang w:val="fr-FR"/>
        </w:rPr>
      </w:pPr>
      <w:r w:rsidRPr="004560CD">
        <w:rPr>
          <w:lang w:val="fr-FR"/>
        </w:rPr>
        <w:t>2.  </w:t>
      </w:r>
      <w:r w:rsidRPr="004560CD">
        <w:rPr>
          <w:i/>
          <w:lang w:val="fr-FR"/>
        </w:rPr>
        <w:t>Déclare</w:t>
      </w:r>
      <w:r w:rsidRPr="004560CD">
        <w:rPr>
          <w:lang w:val="fr-FR"/>
        </w:rPr>
        <w:t xml:space="preserve">, </w:t>
      </w:r>
      <w:r w:rsidR="00777FC1" w:rsidRPr="004560CD">
        <w:rPr>
          <w:lang w:val="fr-FR"/>
        </w:rPr>
        <w:t>à la majorité</w:t>
      </w:r>
      <w:r w:rsidRPr="004560CD">
        <w:rPr>
          <w:lang w:val="fr-FR" w:eastAsia="en-GB"/>
        </w:rPr>
        <w:t>,</w:t>
      </w:r>
      <w:r w:rsidRPr="004560CD">
        <w:rPr>
          <w:lang w:val="fr-FR"/>
        </w:rPr>
        <w:t xml:space="preserve"> la requête irrecevable pour le surplus ;</w:t>
      </w:r>
    </w:p>
    <w:p w:rsidR="00325FA6" w:rsidRPr="004560CD" w:rsidRDefault="00325FA6" w:rsidP="004560CD">
      <w:pPr>
        <w:pStyle w:val="JuList"/>
        <w:rPr>
          <w:lang w:val="fr-FR"/>
        </w:rPr>
      </w:pPr>
    </w:p>
    <w:p w:rsidR="00325FA6" w:rsidRPr="004560CD" w:rsidRDefault="00325FA6" w:rsidP="004560CD">
      <w:pPr>
        <w:pStyle w:val="JuList"/>
        <w:rPr>
          <w:lang w:val="fr-FR"/>
        </w:rPr>
      </w:pPr>
      <w:r w:rsidRPr="004560CD">
        <w:rPr>
          <w:lang w:val="fr-FR"/>
        </w:rPr>
        <w:t>3.  </w:t>
      </w:r>
      <w:r w:rsidRPr="004560CD">
        <w:rPr>
          <w:i/>
          <w:lang w:val="fr-FR"/>
        </w:rPr>
        <w:t>Dit</w:t>
      </w:r>
      <w:r w:rsidRPr="004560CD">
        <w:rPr>
          <w:lang w:val="fr-FR"/>
        </w:rPr>
        <w:t>, à l</w:t>
      </w:r>
      <w:r w:rsidR="004560CD" w:rsidRPr="004560CD">
        <w:rPr>
          <w:lang w:val="fr-FR"/>
        </w:rPr>
        <w:t>’</w:t>
      </w:r>
      <w:r w:rsidRPr="004560CD">
        <w:rPr>
          <w:lang w:val="fr-FR"/>
        </w:rPr>
        <w:t>unanimité, qu</w:t>
      </w:r>
      <w:r w:rsidR="004560CD" w:rsidRPr="004560CD">
        <w:rPr>
          <w:lang w:val="fr-FR"/>
        </w:rPr>
        <w:t>’</w:t>
      </w:r>
      <w:r w:rsidRPr="004560CD">
        <w:rPr>
          <w:lang w:val="fr-FR"/>
        </w:rPr>
        <w:t>il y a eu violation de l</w:t>
      </w:r>
      <w:r w:rsidR="004560CD" w:rsidRPr="004560CD">
        <w:rPr>
          <w:lang w:val="fr-FR"/>
        </w:rPr>
        <w:t>’</w:t>
      </w:r>
      <w:r w:rsidRPr="004560CD">
        <w:rPr>
          <w:lang w:val="fr-FR"/>
        </w:rPr>
        <w:t>article 2 du protocole n</w:t>
      </w:r>
      <w:r w:rsidRPr="004560CD">
        <w:rPr>
          <w:vertAlign w:val="superscript"/>
          <w:lang w:val="fr-FR"/>
        </w:rPr>
        <w:t>o </w:t>
      </w:r>
      <w:r w:rsidRPr="004560CD">
        <w:rPr>
          <w:lang w:val="fr-FR"/>
        </w:rPr>
        <w:t>4 de la Convention ;</w:t>
      </w:r>
    </w:p>
    <w:p w:rsidR="00777FC1" w:rsidRPr="004560CD" w:rsidRDefault="00777FC1" w:rsidP="004560CD">
      <w:pPr>
        <w:pStyle w:val="JuList"/>
        <w:rPr>
          <w:lang w:val="fr-FR"/>
        </w:rPr>
      </w:pPr>
    </w:p>
    <w:p w:rsidR="00325FA6" w:rsidRPr="004560CD" w:rsidRDefault="00325FA6" w:rsidP="004560CD">
      <w:pPr>
        <w:pStyle w:val="JuList"/>
        <w:rPr>
          <w:lang w:val="fr-FR"/>
        </w:rPr>
      </w:pPr>
      <w:r w:rsidRPr="004560CD">
        <w:rPr>
          <w:lang w:val="fr-FR"/>
        </w:rPr>
        <w:t>4.  </w:t>
      </w:r>
      <w:r w:rsidRPr="004560CD">
        <w:rPr>
          <w:i/>
          <w:lang w:val="fr-FR" w:eastAsia="fr-FR"/>
        </w:rPr>
        <w:t>Dit</w:t>
      </w:r>
      <w:r w:rsidRPr="004560CD">
        <w:rPr>
          <w:lang w:val="fr-FR" w:eastAsia="fr-FR"/>
        </w:rPr>
        <w:t>, à l</w:t>
      </w:r>
      <w:r w:rsidR="004560CD" w:rsidRPr="004560CD">
        <w:rPr>
          <w:lang w:val="fr-FR" w:eastAsia="fr-FR"/>
        </w:rPr>
        <w:t>’</w:t>
      </w:r>
      <w:r w:rsidRPr="004560CD">
        <w:rPr>
          <w:lang w:val="fr-FR" w:eastAsia="fr-FR"/>
        </w:rPr>
        <w:t>unanimité, qu</w:t>
      </w:r>
      <w:r w:rsidR="004560CD" w:rsidRPr="004560CD">
        <w:rPr>
          <w:lang w:val="fr-FR" w:eastAsia="fr-FR"/>
        </w:rPr>
        <w:t>’</w:t>
      </w:r>
      <w:r w:rsidRPr="004560CD">
        <w:rPr>
          <w:lang w:val="fr-FR" w:eastAsia="fr-FR"/>
        </w:rPr>
        <w:t xml:space="preserve">il </w:t>
      </w:r>
      <w:r w:rsidRPr="004560CD">
        <w:rPr>
          <w:lang w:val="fr-FR"/>
        </w:rPr>
        <w:t>n</w:t>
      </w:r>
      <w:r w:rsidR="004560CD" w:rsidRPr="004560CD">
        <w:rPr>
          <w:lang w:val="fr-FR"/>
        </w:rPr>
        <w:t>’</w:t>
      </w:r>
      <w:r w:rsidRPr="004560CD">
        <w:rPr>
          <w:lang w:val="fr-FR"/>
        </w:rPr>
        <w:t>y a pas lieu d</w:t>
      </w:r>
      <w:r w:rsidR="004560CD" w:rsidRPr="004560CD">
        <w:rPr>
          <w:lang w:val="fr-FR"/>
        </w:rPr>
        <w:t>’</w:t>
      </w:r>
      <w:r w:rsidRPr="004560CD">
        <w:rPr>
          <w:lang w:val="fr-FR"/>
        </w:rPr>
        <w:t>examiner le grief tiré de l</w:t>
      </w:r>
      <w:r w:rsidR="004560CD" w:rsidRPr="004560CD">
        <w:rPr>
          <w:lang w:val="fr-FR"/>
        </w:rPr>
        <w:t>’</w:t>
      </w:r>
      <w:r w:rsidRPr="004560CD">
        <w:rPr>
          <w:lang w:val="fr-FR" w:eastAsia="fr-FR"/>
        </w:rPr>
        <w:t>article</w:t>
      </w:r>
      <w:r w:rsidR="00755C84" w:rsidRPr="004560CD">
        <w:rPr>
          <w:lang w:val="fr-FR" w:eastAsia="fr-FR"/>
        </w:rPr>
        <w:t> </w:t>
      </w:r>
      <w:r w:rsidRPr="004560CD">
        <w:rPr>
          <w:lang w:val="fr-FR"/>
        </w:rPr>
        <w:t xml:space="preserve">8 </w:t>
      </w:r>
      <w:r w:rsidRPr="004560CD">
        <w:rPr>
          <w:lang w:val="fr-FR" w:eastAsia="fr-FR"/>
        </w:rPr>
        <w:t>de la Convention</w:t>
      </w:r>
      <w:r w:rsidRPr="004560CD">
        <w:rPr>
          <w:lang w:val="fr-FR"/>
        </w:rPr>
        <w:t> ;</w:t>
      </w:r>
    </w:p>
    <w:p w:rsidR="00325FA6" w:rsidRPr="004560CD" w:rsidRDefault="00325FA6" w:rsidP="004560CD">
      <w:pPr>
        <w:pStyle w:val="JuList"/>
        <w:rPr>
          <w:lang w:val="fr-FR"/>
        </w:rPr>
      </w:pPr>
    </w:p>
    <w:p w:rsidR="00325FA6" w:rsidRPr="004560CD" w:rsidRDefault="00325FA6" w:rsidP="004560CD">
      <w:pPr>
        <w:pStyle w:val="JuList"/>
        <w:rPr>
          <w:lang w:val="fr-FR"/>
        </w:rPr>
      </w:pPr>
      <w:r w:rsidRPr="004560CD">
        <w:rPr>
          <w:lang w:val="fr-FR"/>
        </w:rPr>
        <w:t>5.  </w:t>
      </w:r>
      <w:r w:rsidRPr="004560CD">
        <w:rPr>
          <w:i/>
          <w:lang w:val="fr-FR"/>
        </w:rPr>
        <w:t>Dit</w:t>
      </w:r>
      <w:r w:rsidRPr="004560CD">
        <w:rPr>
          <w:lang w:val="fr-FR"/>
        </w:rPr>
        <w:t>, à l</w:t>
      </w:r>
      <w:r w:rsidR="004560CD" w:rsidRPr="004560CD">
        <w:rPr>
          <w:lang w:val="fr-FR"/>
        </w:rPr>
        <w:t>’</w:t>
      </w:r>
      <w:r w:rsidRPr="004560CD">
        <w:rPr>
          <w:lang w:val="fr-FR"/>
        </w:rPr>
        <w:t>unanimité,</w:t>
      </w:r>
    </w:p>
    <w:p w:rsidR="00325FA6" w:rsidRPr="004560CD" w:rsidRDefault="00325FA6" w:rsidP="004560CD">
      <w:pPr>
        <w:pStyle w:val="JuLista"/>
        <w:rPr>
          <w:lang w:val="fr-FR"/>
        </w:rPr>
      </w:pPr>
      <w:r w:rsidRPr="004560CD">
        <w:rPr>
          <w:lang w:val="fr-FR"/>
        </w:rPr>
        <w:t>a)  que l</w:t>
      </w:r>
      <w:r w:rsidR="004560CD" w:rsidRPr="004560CD">
        <w:rPr>
          <w:lang w:val="fr-FR"/>
        </w:rPr>
        <w:t>’</w:t>
      </w:r>
      <w:r w:rsidRPr="004560CD">
        <w:rPr>
          <w:lang w:val="fr-FR"/>
        </w:rPr>
        <w:t>État défendeur doit verser au requérant, dans les trois mois à compter du jour où l</w:t>
      </w:r>
      <w:r w:rsidR="004560CD" w:rsidRPr="004560CD">
        <w:rPr>
          <w:lang w:val="fr-FR"/>
        </w:rPr>
        <w:t>’</w:t>
      </w:r>
      <w:r w:rsidRPr="004560CD">
        <w:rPr>
          <w:lang w:val="fr-FR"/>
        </w:rPr>
        <w:t>arrêt sera devenu définitif conformément à l</w:t>
      </w:r>
      <w:r w:rsidR="004560CD" w:rsidRPr="004560CD">
        <w:rPr>
          <w:lang w:val="fr-FR"/>
        </w:rPr>
        <w:t>’</w:t>
      </w:r>
      <w:r w:rsidRPr="004560CD">
        <w:rPr>
          <w:lang w:val="fr-FR"/>
        </w:rPr>
        <w:t>article 44 § 2 de la Convention, 5 000 EUR (cinq mille euros), plus tout montant pouvant être dû à titre d</w:t>
      </w:r>
      <w:r w:rsidR="004560CD" w:rsidRPr="004560CD">
        <w:rPr>
          <w:lang w:val="fr-FR"/>
        </w:rPr>
        <w:t>’</w:t>
      </w:r>
      <w:r w:rsidRPr="004560CD">
        <w:rPr>
          <w:lang w:val="fr-FR"/>
        </w:rPr>
        <w:t>impôt, pour dommage moral,</w:t>
      </w:r>
    </w:p>
    <w:p w:rsidR="00325FA6" w:rsidRPr="004560CD" w:rsidRDefault="00325FA6" w:rsidP="004560CD">
      <w:pPr>
        <w:pStyle w:val="JuLista"/>
        <w:rPr>
          <w:lang w:val="fr-FR"/>
        </w:rPr>
      </w:pPr>
      <w:r w:rsidRPr="004560CD">
        <w:rPr>
          <w:lang w:val="fr-FR"/>
        </w:rPr>
        <w:t>b)  qu</w:t>
      </w:r>
      <w:r w:rsidR="004560CD" w:rsidRPr="004560CD">
        <w:rPr>
          <w:lang w:val="fr-FR"/>
        </w:rPr>
        <w:t>’</w:t>
      </w:r>
      <w:r w:rsidRPr="004560CD">
        <w:rPr>
          <w:lang w:val="fr-FR"/>
        </w:rPr>
        <w:t>à compter de l</w:t>
      </w:r>
      <w:r w:rsidR="004560CD" w:rsidRPr="004560CD">
        <w:rPr>
          <w:lang w:val="fr-FR"/>
        </w:rPr>
        <w:t>’</w:t>
      </w:r>
      <w:r w:rsidRPr="004560CD">
        <w:rPr>
          <w:lang w:val="fr-FR"/>
        </w:rPr>
        <w:t>expiration dudit délai et jusqu</w:t>
      </w:r>
      <w:r w:rsidR="004560CD" w:rsidRPr="004560CD">
        <w:rPr>
          <w:lang w:val="fr-FR"/>
        </w:rPr>
        <w:t>’</w:t>
      </w:r>
      <w:r w:rsidRPr="004560CD">
        <w:rPr>
          <w:lang w:val="fr-FR"/>
        </w:rPr>
        <w:t>au versement, ces montants seront à majorer d</w:t>
      </w:r>
      <w:r w:rsidR="004560CD" w:rsidRPr="004560CD">
        <w:rPr>
          <w:lang w:val="fr-FR"/>
        </w:rPr>
        <w:t>’</w:t>
      </w:r>
      <w:r w:rsidRPr="004560CD">
        <w:rPr>
          <w:lang w:val="fr-FR"/>
        </w:rPr>
        <w:t>un intérêt simple à un taux égal à celui de la facilité de prêt marginal de la Banque centrale européenne applicable pendant cette période, augmenté de trois points de pourcentage ;</w:t>
      </w:r>
    </w:p>
    <w:p w:rsidR="00325FA6" w:rsidRPr="004560CD" w:rsidRDefault="00325FA6" w:rsidP="004560CD">
      <w:pPr>
        <w:pStyle w:val="JuList"/>
        <w:rPr>
          <w:lang w:val="fr-FR"/>
        </w:rPr>
      </w:pPr>
    </w:p>
    <w:p w:rsidR="00325FA6" w:rsidRPr="004560CD" w:rsidRDefault="00325FA6" w:rsidP="004560CD">
      <w:pPr>
        <w:pStyle w:val="JuList"/>
        <w:rPr>
          <w:lang w:val="fr-FR"/>
        </w:rPr>
      </w:pPr>
      <w:r w:rsidRPr="004560CD">
        <w:rPr>
          <w:lang w:val="fr-FR"/>
        </w:rPr>
        <w:t>6.  </w:t>
      </w:r>
      <w:r w:rsidRPr="004560CD">
        <w:rPr>
          <w:i/>
          <w:lang w:val="fr-FR"/>
        </w:rPr>
        <w:t>Rejette</w:t>
      </w:r>
      <w:r w:rsidR="004C502C" w:rsidRPr="004560CD">
        <w:rPr>
          <w:lang w:val="fr-FR"/>
        </w:rPr>
        <w:t>,</w:t>
      </w:r>
      <w:r w:rsidRPr="004560CD">
        <w:rPr>
          <w:i/>
          <w:lang w:val="fr-FR"/>
        </w:rPr>
        <w:t xml:space="preserve"> </w:t>
      </w:r>
      <w:r w:rsidRPr="004560CD">
        <w:rPr>
          <w:lang w:val="fr-FR"/>
        </w:rPr>
        <w:t>par six voix contre une</w:t>
      </w:r>
      <w:r w:rsidRPr="004560CD">
        <w:rPr>
          <w:lang w:val="fr-FR" w:eastAsia="en-GB"/>
        </w:rPr>
        <w:t>,</w:t>
      </w:r>
      <w:r w:rsidRPr="004560CD">
        <w:rPr>
          <w:lang w:val="fr-FR"/>
        </w:rPr>
        <w:t xml:space="preserve"> la demande de satisfaction équitable pour le surplus.</w:t>
      </w:r>
    </w:p>
    <w:p w:rsidR="005A16EE" w:rsidRPr="004560CD" w:rsidRDefault="005A16EE" w:rsidP="004560CD">
      <w:pPr>
        <w:pStyle w:val="JuParaLast"/>
        <w:rPr>
          <w:lang w:val="fr-FR" w:eastAsia="fr-FR"/>
        </w:rPr>
      </w:pPr>
      <w:r w:rsidRPr="004560CD">
        <w:rPr>
          <w:lang w:val="fr-FR" w:eastAsia="fr-FR"/>
        </w:rPr>
        <w:t>Fait en français, puis communiqué par écrit le</w:t>
      </w:r>
      <w:r w:rsidR="00A6733D" w:rsidRPr="004560CD">
        <w:rPr>
          <w:lang w:val="fr-FR" w:eastAsia="fr-FR"/>
        </w:rPr>
        <w:t xml:space="preserve"> </w:t>
      </w:r>
      <w:r w:rsidR="00325FA6" w:rsidRPr="004560CD">
        <w:rPr>
          <w:lang w:val="fr-FR" w:eastAsia="fr-FR"/>
        </w:rPr>
        <w:t xml:space="preserve">2 </w:t>
      </w:r>
      <w:r w:rsidR="00F82F87" w:rsidRPr="004560CD">
        <w:rPr>
          <w:lang w:val="fr-FR" w:eastAsia="fr-FR"/>
        </w:rPr>
        <w:t>décembre</w:t>
      </w:r>
      <w:r w:rsidR="00325FA6" w:rsidRPr="004560CD">
        <w:rPr>
          <w:lang w:val="fr-FR" w:eastAsia="fr-FR"/>
        </w:rPr>
        <w:t xml:space="preserve"> 2014</w:t>
      </w:r>
      <w:r w:rsidRPr="004560CD">
        <w:rPr>
          <w:lang w:val="fr-FR" w:eastAsia="fr-FR"/>
        </w:rPr>
        <w:t>, en application de l</w:t>
      </w:r>
      <w:r w:rsidR="004560CD" w:rsidRPr="004560CD">
        <w:rPr>
          <w:lang w:val="fr-FR" w:eastAsia="fr-FR"/>
        </w:rPr>
        <w:t>’</w:t>
      </w:r>
      <w:r w:rsidRPr="004560CD">
        <w:rPr>
          <w:lang w:val="fr-FR" w:eastAsia="fr-FR"/>
        </w:rPr>
        <w:t>article 77 §§ 2 et 3 du règlement.</w:t>
      </w:r>
    </w:p>
    <w:p w:rsidR="005A16EE" w:rsidRPr="004560CD" w:rsidRDefault="005A16EE" w:rsidP="004560CD">
      <w:pPr>
        <w:pStyle w:val="JuSigned"/>
        <w:rPr>
          <w:lang w:val="fr-FR" w:eastAsia="fr-FR"/>
        </w:rPr>
      </w:pPr>
      <w:r w:rsidRPr="004560CD">
        <w:rPr>
          <w:lang w:val="fr-FR" w:eastAsia="fr-FR"/>
        </w:rPr>
        <w:tab/>
        <w:t>Abel Campos</w:t>
      </w:r>
      <w:r w:rsidRPr="004560CD">
        <w:rPr>
          <w:lang w:val="fr-FR" w:eastAsia="fr-FR"/>
        </w:rPr>
        <w:tab/>
      </w:r>
      <w:r w:rsidRPr="004560CD">
        <w:rPr>
          <w:szCs w:val="24"/>
          <w:lang w:val="fr-FR" w:eastAsia="fr-FR"/>
        </w:rPr>
        <w:t>Işıl Karakaş</w:t>
      </w:r>
      <w:r w:rsidRPr="004560CD">
        <w:rPr>
          <w:lang w:val="fr-FR" w:eastAsia="fr-FR"/>
        </w:rPr>
        <w:br/>
      </w:r>
      <w:r w:rsidRPr="004560CD">
        <w:rPr>
          <w:lang w:val="fr-FR" w:eastAsia="fr-FR"/>
        </w:rPr>
        <w:tab/>
        <w:t>Greffier adjoint</w:t>
      </w:r>
      <w:r w:rsidRPr="004560CD">
        <w:rPr>
          <w:lang w:val="fr-FR" w:eastAsia="fr-FR"/>
        </w:rPr>
        <w:tab/>
        <w:t>Présidente</w:t>
      </w:r>
    </w:p>
    <w:p w:rsidR="00C579A5" w:rsidRPr="004560CD" w:rsidRDefault="00C579A5" w:rsidP="004560CD">
      <w:pPr>
        <w:pStyle w:val="JuParaLast"/>
        <w:rPr>
          <w:lang w:val="fr-FR"/>
        </w:rPr>
      </w:pPr>
      <w:r w:rsidRPr="004560CD">
        <w:rPr>
          <w:lang w:val="fr-FR"/>
        </w:rPr>
        <w:t>Au présent arrêt se trouve joint, conformément aux articles 45 § 2 de la Convention et 74 § 2 du règlement, l</w:t>
      </w:r>
      <w:r w:rsidR="004560CD" w:rsidRPr="004560CD">
        <w:rPr>
          <w:lang w:val="fr-FR"/>
        </w:rPr>
        <w:t>’</w:t>
      </w:r>
      <w:r w:rsidRPr="004560CD">
        <w:rPr>
          <w:lang w:val="fr-FR"/>
        </w:rPr>
        <w:t>exposé de la déclaration de dissentiment du juge Kūris.</w:t>
      </w:r>
    </w:p>
    <w:p w:rsidR="00C579A5" w:rsidRPr="004560CD" w:rsidRDefault="00C579A5" w:rsidP="004560CD">
      <w:pPr>
        <w:pStyle w:val="JuInitialled"/>
        <w:rPr>
          <w:lang w:val="fr-FR"/>
        </w:rPr>
      </w:pPr>
      <w:r w:rsidRPr="004560CD">
        <w:rPr>
          <w:lang w:val="fr-FR"/>
        </w:rPr>
        <w:t>A.I.K.</w:t>
      </w:r>
      <w:r w:rsidRPr="004560CD">
        <w:rPr>
          <w:lang w:val="fr-FR"/>
        </w:rPr>
        <w:br/>
        <w:t>A.C.</w:t>
      </w:r>
    </w:p>
    <w:p w:rsidR="00C579A5" w:rsidRPr="004560CD" w:rsidRDefault="00C579A5" w:rsidP="004560CD">
      <w:pPr>
        <w:pStyle w:val="ECHRPara"/>
        <w:rPr>
          <w:lang w:val="fr-FR"/>
        </w:rPr>
        <w:sectPr w:rsidR="00C579A5" w:rsidRPr="004560CD">
          <w:headerReference w:type="even" r:id="rId36"/>
          <w:headerReference w:type="default" r:id="rId37"/>
          <w:footerReference w:type="even" r:id="rId38"/>
          <w:footerReference w:type="default" r:id="rId39"/>
          <w:pgSz w:w="11906" w:h="16838" w:code="9"/>
          <w:pgMar w:top="2274" w:right="2274" w:bottom="2274" w:left="2274" w:header="1701" w:footer="720" w:gutter="0"/>
          <w:pgNumType w:start="1"/>
          <w:cols w:space="720"/>
          <w:noEndnote/>
        </w:sectPr>
      </w:pPr>
    </w:p>
    <w:p w:rsidR="00C579A5" w:rsidRPr="004560CD" w:rsidRDefault="00C579A5" w:rsidP="004560CD">
      <w:pPr>
        <w:pStyle w:val="ECHRPara"/>
        <w:rPr>
          <w:lang w:val="fr-FR"/>
        </w:rPr>
      </w:pPr>
    </w:p>
    <w:p w:rsidR="00C579A5" w:rsidRPr="004560CD" w:rsidRDefault="009A1A78" w:rsidP="004560CD">
      <w:pPr>
        <w:pStyle w:val="ECHRTitleCentre1"/>
        <w:rPr>
          <w:lang w:val="fr-FR"/>
        </w:rPr>
      </w:pPr>
      <w:r w:rsidRPr="004560CD">
        <w:rPr>
          <w:lang w:val="fr-FR"/>
        </w:rPr>
        <w:t>DÉCLARATION DE DISSENTIMENT DU JUGE KŪRIS</w:t>
      </w:r>
    </w:p>
    <w:p w:rsidR="00C579A5" w:rsidRPr="004560CD" w:rsidRDefault="00C579A5" w:rsidP="004560CD">
      <w:pPr>
        <w:pStyle w:val="OpiPara"/>
        <w:rPr>
          <w:lang w:val="fr-FR"/>
        </w:rPr>
      </w:pPr>
      <w:r w:rsidRPr="004560CD">
        <w:rPr>
          <w:lang w:val="fr-FR"/>
        </w:rPr>
        <w:t>J</w:t>
      </w:r>
      <w:r w:rsidR="004560CD" w:rsidRPr="004560CD">
        <w:rPr>
          <w:lang w:val="fr-FR"/>
        </w:rPr>
        <w:t>’</w:t>
      </w:r>
      <w:r w:rsidRPr="004560CD">
        <w:rPr>
          <w:lang w:val="fr-FR"/>
        </w:rPr>
        <w:t>ai voté contre les points 2 et 6 du dispositif du présent arrêt. J</w:t>
      </w:r>
      <w:r w:rsidR="004560CD" w:rsidRPr="004560CD">
        <w:rPr>
          <w:lang w:val="fr-FR"/>
        </w:rPr>
        <w:t>’</w:t>
      </w:r>
      <w:r w:rsidRPr="004560CD">
        <w:rPr>
          <w:lang w:val="fr-FR"/>
        </w:rPr>
        <w:t>estime que la question abordée aux paragraphes 53 et 54 de l</w:t>
      </w:r>
      <w:r w:rsidR="004560CD" w:rsidRPr="004560CD">
        <w:rPr>
          <w:lang w:val="fr-FR"/>
        </w:rPr>
        <w:t>’</w:t>
      </w:r>
      <w:r w:rsidRPr="004560CD">
        <w:rPr>
          <w:lang w:val="fr-FR"/>
        </w:rPr>
        <w:t>arrêt méritait d</w:t>
      </w:r>
      <w:r w:rsidR="004560CD" w:rsidRPr="004560CD">
        <w:rPr>
          <w:lang w:val="fr-FR"/>
        </w:rPr>
        <w:t>’</w:t>
      </w:r>
      <w:r w:rsidRPr="004560CD">
        <w:rPr>
          <w:lang w:val="fr-FR"/>
        </w:rPr>
        <w:t>être examinée sous l</w:t>
      </w:r>
      <w:r w:rsidR="004560CD" w:rsidRPr="004560CD">
        <w:rPr>
          <w:lang w:val="fr-FR"/>
        </w:rPr>
        <w:t>’</w:t>
      </w:r>
      <w:r w:rsidRPr="004560CD">
        <w:rPr>
          <w:lang w:val="fr-FR"/>
        </w:rPr>
        <w:t>angle de l</w:t>
      </w:r>
      <w:r w:rsidR="004560CD" w:rsidRPr="004560CD">
        <w:rPr>
          <w:lang w:val="fr-FR"/>
        </w:rPr>
        <w:t>’</w:t>
      </w:r>
      <w:r w:rsidRPr="004560CD">
        <w:rPr>
          <w:lang w:val="fr-FR"/>
        </w:rPr>
        <w:t>article 5 du Protocole n</w:t>
      </w:r>
      <w:r w:rsidR="009A1A78" w:rsidRPr="004560CD">
        <w:rPr>
          <w:vertAlign w:val="superscript"/>
          <w:lang w:val="fr-FR"/>
        </w:rPr>
        <w:t>o</w:t>
      </w:r>
      <w:r w:rsidRPr="004560CD">
        <w:rPr>
          <w:lang w:val="fr-FR"/>
        </w:rPr>
        <w:t> 7 à la Convention. En conséquence, cette partie de la requête aurait dû être déclarée recevable.</w:t>
      </w:r>
    </w:p>
    <w:sectPr w:rsidR="00C579A5" w:rsidRPr="004560CD" w:rsidSect="00C579A5">
      <w:headerReference w:type="default" r:id="rId40"/>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78" w:rsidRDefault="009A1A78" w:rsidP="002D2C99">
      <w:r>
        <w:separator/>
      </w:r>
    </w:p>
  </w:endnote>
  <w:endnote w:type="continuationSeparator" w:id="0">
    <w:p w:rsidR="009A1A78" w:rsidRDefault="009A1A78"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Pr="00150BFA" w:rsidRDefault="009A1A78" w:rsidP="00EB2511">
    <w:pPr>
      <w:jc w:val="center"/>
    </w:pPr>
    <w:r>
      <w:rPr>
        <w:noProof/>
        <w:lang w:eastAsia="ja-JP"/>
      </w:rPr>
      <w:drawing>
        <wp:inline distT="0" distB="0" distL="0" distR="0" wp14:anchorId="7499E31B" wp14:editId="4EAA6E55">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A1A78" w:rsidRDefault="009A1A78" w:rsidP="00EB25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Default="009A1A78" w:rsidP="00EB25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Default="009A1A78" w:rsidP="00EB25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78" w:rsidRDefault="009A1A78" w:rsidP="002D2C99">
      <w:r>
        <w:separator/>
      </w:r>
    </w:p>
  </w:footnote>
  <w:footnote w:type="continuationSeparator" w:id="0">
    <w:p w:rsidR="009A1A78" w:rsidRDefault="009A1A78" w:rsidP="002D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Pr="00A45145" w:rsidRDefault="009A1A78" w:rsidP="00EB2511">
    <w:pPr>
      <w:jc w:val="center"/>
    </w:pPr>
    <w:r>
      <w:rPr>
        <w:noProof/>
        <w:lang w:eastAsia="ja-JP"/>
      </w:rPr>
      <w:drawing>
        <wp:inline distT="0" distB="0" distL="0" distR="0" wp14:anchorId="55CF3579" wp14:editId="09434425">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A1A78" w:rsidRDefault="009A1A78"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Pr="00F5432B" w:rsidRDefault="009A1A78" w:rsidP="00F5432B">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FD759F">
      <w:rPr>
        <w:rStyle w:val="PageNumber"/>
        <w:noProof/>
        <w:lang w:val="fr-FR"/>
      </w:rPr>
      <w:t>23</w:t>
    </w:r>
    <w:r>
      <w:rPr>
        <w:rStyle w:val="PageNumber"/>
        <w:lang w:val="fr-FR"/>
      </w:rPr>
      <w:fldChar w:fldCharType="end"/>
    </w:r>
    <w:r w:rsidRPr="00F5432B">
      <w:rPr>
        <w:lang w:val="fr-FR"/>
      </w:rPr>
      <w:tab/>
      <w:t xml:space="preserve">ARRÊT </w:t>
    </w:r>
    <w:r>
      <w:rPr>
        <w:lang w:val="fr-FR"/>
      </w:rPr>
      <w:t>BATTISTA c. ITALIE</w:t>
    </w:r>
    <w:r w:rsidRPr="00F5432B">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Pr="007100AD" w:rsidRDefault="009A1A78" w:rsidP="00420F04">
    <w:pPr>
      <w:pStyle w:val="ECHRHeader"/>
    </w:pPr>
    <w:r>
      <w:tab/>
    </w:r>
    <w:r w:rsidRPr="00A7574A">
      <w:rPr>
        <w:lang w:val="en-GB"/>
      </w:rPr>
      <w:t xml:space="preserve">ARRÊT </w:t>
    </w:r>
    <w:r>
      <w:rPr>
        <w:lang w:val="en-GB"/>
      </w:rPr>
      <w:t>BATTISTA c. ITALIE</w:t>
    </w:r>
    <w:r w:rsidRPr="00A7574A">
      <w:rPr>
        <w:lang w:val="en-GB"/>
      </w:rPr>
      <w:t xml:space="preserve"> </w:t>
    </w:r>
    <w:r w:rsidRPr="007100AD">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FD759F">
      <w:rPr>
        <w:rStyle w:val="PageNumber"/>
        <w:noProof/>
        <w:lang w:val="en-GB"/>
      </w:rPr>
      <w:t>23</w:t>
    </w:r>
    <w:r>
      <w:rPr>
        <w:rStyle w:val="PageNumber"/>
        <w:lang w:val="en-GB"/>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78" w:rsidRPr="00C579A5" w:rsidRDefault="009A1A78" w:rsidP="00420F04">
    <w:pPr>
      <w:pStyle w:val="ECHRHeader"/>
      <w:rPr>
        <w:lang w:val="fr-FR"/>
      </w:rPr>
    </w:pPr>
    <w:r>
      <w:tab/>
    </w:r>
    <w:r w:rsidRPr="00C579A5">
      <w:rPr>
        <w:lang w:val="fr-FR"/>
      </w:rPr>
      <w:t xml:space="preserve">ARRÊT BATTISTA c. ITALIE </w:t>
    </w:r>
    <w:r w:rsidR="004560CD">
      <w:rPr>
        <w:lang w:val="fr-FR"/>
      </w:rPr>
      <w:t xml:space="preserve">- </w:t>
    </w:r>
    <w:r w:rsidRPr="00C579A5">
      <w:rPr>
        <w:lang w:val="fr-FR"/>
      </w:rPr>
      <w:t>D</w:t>
    </w:r>
    <w:r>
      <w:rPr>
        <w:rFonts w:cstheme="minorHAnsi"/>
        <w:lang w:val="fr-FR"/>
      </w:rPr>
      <w:t>É</w:t>
    </w:r>
    <w:r w:rsidRPr="00C579A5">
      <w:rPr>
        <w:lang w:val="fr-FR"/>
      </w:rPr>
      <w:t>CLARATION DE DISSENTIMENT</w:t>
    </w:r>
    <w:r w:rsidRPr="00C579A5">
      <w:rPr>
        <w:lang w:val="fr-FR"/>
      </w:rPr>
      <w:tab/>
    </w:r>
    <w:r>
      <w:rPr>
        <w:rStyle w:val="PageNumber"/>
        <w:lang w:val="en-GB"/>
      </w:rPr>
      <w:fldChar w:fldCharType="begin"/>
    </w:r>
    <w:r w:rsidRPr="00C579A5">
      <w:rPr>
        <w:rStyle w:val="PageNumber"/>
        <w:lang w:val="fr-FR"/>
      </w:rPr>
      <w:instrText xml:space="preserve"> PAGE </w:instrText>
    </w:r>
    <w:r>
      <w:rPr>
        <w:rStyle w:val="PageNumber"/>
        <w:lang w:val="en-GB"/>
      </w:rPr>
      <w:fldChar w:fldCharType="separate"/>
    </w:r>
    <w:r w:rsidR="00FD759F">
      <w:rPr>
        <w:rStyle w:val="PageNumber"/>
        <w:noProof/>
        <w:lang w:val="fr-FR"/>
      </w:rPr>
      <w:t>23</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7063F06"/>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5D7306C"/>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5"/>
  </w:num>
  <w:num w:numId="3">
    <w:abstractNumId w:val="13"/>
  </w:num>
  <w:num w:numId="4">
    <w:abstractNumId w:val="11"/>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0"/>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A16EE"/>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325B"/>
    <w:rsid w:val="001F6262"/>
    <w:rsid w:val="001F67B0"/>
    <w:rsid w:val="001F7B3D"/>
    <w:rsid w:val="00205F9F"/>
    <w:rsid w:val="00210338"/>
    <w:rsid w:val="002115FC"/>
    <w:rsid w:val="0021423C"/>
    <w:rsid w:val="00214DE4"/>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2C99"/>
    <w:rsid w:val="002F2AF7"/>
    <w:rsid w:val="002F7E1C"/>
    <w:rsid w:val="00301A75"/>
    <w:rsid w:val="00302F70"/>
    <w:rsid w:val="0030336F"/>
    <w:rsid w:val="0030375E"/>
    <w:rsid w:val="00312A30"/>
    <w:rsid w:val="00320F72"/>
    <w:rsid w:val="0032463E"/>
    <w:rsid w:val="00325FA6"/>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560CD"/>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502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5DCF"/>
    <w:rsid w:val="005264C0"/>
    <w:rsid w:val="00526A8A"/>
    <w:rsid w:val="00531DF2"/>
    <w:rsid w:val="005442EE"/>
    <w:rsid w:val="00547353"/>
    <w:rsid w:val="005474E7"/>
    <w:rsid w:val="005512A3"/>
    <w:rsid w:val="005578CE"/>
    <w:rsid w:val="00562781"/>
    <w:rsid w:val="0057271C"/>
    <w:rsid w:val="00572845"/>
    <w:rsid w:val="00592772"/>
    <w:rsid w:val="0059574A"/>
    <w:rsid w:val="005A16EE"/>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410C"/>
    <w:rsid w:val="006545C4"/>
    <w:rsid w:val="00661971"/>
    <w:rsid w:val="00661CE8"/>
    <w:rsid w:val="006623D9"/>
    <w:rsid w:val="0066550C"/>
    <w:rsid w:val="006716F2"/>
    <w:rsid w:val="00681E15"/>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5C84"/>
    <w:rsid w:val="00764D4E"/>
    <w:rsid w:val="00765A1F"/>
    <w:rsid w:val="00775B6D"/>
    <w:rsid w:val="00776D68"/>
    <w:rsid w:val="00777FC1"/>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5C63"/>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A1A78"/>
    <w:rsid w:val="009B1B5F"/>
    <w:rsid w:val="009B6673"/>
    <w:rsid w:val="009C191B"/>
    <w:rsid w:val="009C2BD6"/>
    <w:rsid w:val="009D1C5C"/>
    <w:rsid w:val="009E1F32"/>
    <w:rsid w:val="009E776C"/>
    <w:rsid w:val="009F65D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3D"/>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A3A"/>
    <w:rsid w:val="00B15456"/>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48EC"/>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226"/>
    <w:rsid w:val="00C41974"/>
    <w:rsid w:val="00C41981"/>
    <w:rsid w:val="00C535F5"/>
    <w:rsid w:val="00C53F4A"/>
    <w:rsid w:val="00C54125"/>
    <w:rsid w:val="00C55B54"/>
    <w:rsid w:val="00C579A5"/>
    <w:rsid w:val="00C6098E"/>
    <w:rsid w:val="00C60E8B"/>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C67FA"/>
    <w:rsid w:val="00DD6EE5"/>
    <w:rsid w:val="00DE386C"/>
    <w:rsid w:val="00DE4D35"/>
    <w:rsid w:val="00DF098B"/>
    <w:rsid w:val="00DF11C4"/>
    <w:rsid w:val="00DF210C"/>
    <w:rsid w:val="00DF4B6A"/>
    <w:rsid w:val="00E02C09"/>
    <w:rsid w:val="00E04D59"/>
    <w:rsid w:val="00E07DA1"/>
    <w:rsid w:val="00E123CB"/>
    <w:rsid w:val="00E178AF"/>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2511"/>
    <w:rsid w:val="00EB32A5"/>
    <w:rsid w:val="00EB34ED"/>
    <w:rsid w:val="00EB7BE0"/>
    <w:rsid w:val="00EC315E"/>
    <w:rsid w:val="00ED077C"/>
    <w:rsid w:val="00ED1190"/>
    <w:rsid w:val="00ED551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432B"/>
    <w:rsid w:val="00F56A6F"/>
    <w:rsid w:val="00F5709C"/>
    <w:rsid w:val="00F64EF1"/>
    <w:rsid w:val="00F73F0F"/>
    <w:rsid w:val="00F82F87"/>
    <w:rsid w:val="00F8765F"/>
    <w:rsid w:val="00F90767"/>
    <w:rsid w:val="00FA685B"/>
    <w:rsid w:val="00FB0C01"/>
    <w:rsid w:val="00FB72BA"/>
    <w:rsid w:val="00FC18F2"/>
    <w:rsid w:val="00FC39E5"/>
    <w:rsid w:val="00FC3A78"/>
    <w:rsid w:val="00FD1005"/>
    <w:rsid w:val="00FD6C75"/>
    <w:rsid w:val="00FD759F"/>
    <w:rsid w:val="00FE71B3"/>
    <w:rsid w:val="00FF0B1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semiHidden/>
    <w:qFormat/>
    <w:rsid w:val="002D2C99"/>
    <w:rPr>
      <w:b/>
      <w:bCs/>
    </w:rPr>
  </w:style>
  <w:style w:type="paragraph" w:styleId="NoSpacing">
    <w:name w:val="No Spacing"/>
    <w:basedOn w:val="Normal"/>
    <w:link w:val="NoSpacingChar"/>
    <w:uiPriority w:val="99"/>
    <w:semiHidden/>
    <w:qFormat/>
    <w:rsid w:val="002D2C99"/>
    <w:rPr>
      <w:sz w:val="22"/>
    </w:rPr>
  </w:style>
  <w:style w:type="character" w:customStyle="1" w:styleId="NoSpacingChar">
    <w:name w:val="No Spacing Char"/>
    <w:basedOn w:val="DefaultParagraphFont"/>
    <w:link w:val="NoSpacing"/>
    <w:semiHidden/>
    <w:rsid w:val="002D2C99"/>
    <w:rPr>
      <w:rFonts w:eastAsiaTheme="minorEastAsia"/>
    </w:rPr>
  </w:style>
  <w:style w:type="paragraph" w:customStyle="1" w:styleId="ECHRParaQuote">
    <w:name w:val="ECHR_Para_Quote"/>
    <w:aliases w:val="Ju_Quot"/>
    <w:basedOn w:val="Normal"/>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qFormat/>
    <w:rsid w:val="002D2C99"/>
    <w:pPr>
      <w:tabs>
        <w:tab w:val="center" w:pos="6407"/>
      </w:tabs>
      <w:spacing w:before="720"/>
      <w:jc w:val="right"/>
    </w:pPr>
  </w:style>
  <w:style w:type="paragraph" w:customStyle="1" w:styleId="JuSigned">
    <w:name w:val="Ju_Signed"/>
    <w:basedOn w:val="Normal"/>
    <w:next w:val="JuParaLast"/>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semiHidden/>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link w:val="JuHIRomanChar"/>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semiHidden/>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semiHidden/>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2D2C99"/>
    <w:rPr>
      <w:b/>
      <w:bCs/>
    </w:rPr>
  </w:style>
  <w:style w:type="paragraph" w:styleId="IntenseQuote">
    <w:name w:val="Intense Quote"/>
    <w:basedOn w:val="Normal"/>
    <w:next w:val="Normal"/>
    <w:link w:val="IntenseQuoteChar"/>
    <w:uiPriority w:val="99"/>
    <w:semiHidden/>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2D2C99"/>
    <w:rPr>
      <w:rFonts w:eastAsiaTheme="minorEastAsia"/>
      <w:b/>
      <w:bCs/>
      <w:i/>
      <w:iCs/>
      <w:lang w:bidi="en-US"/>
    </w:rPr>
  </w:style>
  <w:style w:type="character" w:styleId="IntenseReference">
    <w:name w:val="Intense Reference"/>
    <w:uiPriority w:val="99"/>
    <w:semiHidden/>
    <w:qFormat/>
    <w:rsid w:val="002D2C99"/>
    <w:rPr>
      <w:smallCaps/>
      <w:spacing w:val="5"/>
      <w:u w:val="single"/>
    </w:rPr>
  </w:style>
  <w:style w:type="paragraph" w:styleId="ListParagraph">
    <w:name w:val="List Paragraph"/>
    <w:basedOn w:val="Normal"/>
    <w:uiPriority w:val="99"/>
    <w:semiHidden/>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semiHidden/>
    <w:rsid w:val="002D2C99"/>
    <w:rPr>
      <w:rFonts w:eastAsiaTheme="minorEastAsia"/>
      <w:i/>
      <w:iCs/>
      <w:lang w:bidi="en-US"/>
    </w:rPr>
  </w:style>
  <w:style w:type="character" w:styleId="SubtleReference">
    <w:name w:val="Subtle Reference"/>
    <w:uiPriority w:val="99"/>
    <w:semiHidden/>
    <w:qFormat/>
    <w:rsid w:val="002D2C99"/>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2"/>
      </w:numPr>
    </w:pPr>
  </w:style>
  <w:style w:type="numbering" w:styleId="1ai">
    <w:name w:val="Outline List 1"/>
    <w:basedOn w:val="NoList"/>
    <w:uiPriority w:val="99"/>
    <w:semiHidden/>
    <w:unhideWhenUsed/>
    <w:rsid w:val="002D2C99"/>
    <w:pPr>
      <w:numPr>
        <w:numId w:val="3"/>
      </w:numPr>
    </w:pPr>
  </w:style>
  <w:style w:type="paragraph" w:customStyle="1" w:styleId="ECHRPara">
    <w:name w:val="ECHR_Para"/>
    <w:aliases w:val="Ju_Para,Para"/>
    <w:basedOn w:val="Normal"/>
    <w:link w:val="JuParaCar"/>
    <w:uiPriority w:val="12"/>
    <w:qFormat/>
    <w:rsid w:val="002D2C99"/>
    <w:pPr>
      <w:ind w:firstLine="284"/>
    </w:pPr>
  </w:style>
  <w:style w:type="numbering" w:styleId="ArticleSection">
    <w:name w:val="Outline List 3"/>
    <w:basedOn w:val="NoList"/>
    <w:uiPriority w:val="99"/>
    <w:semiHidden/>
    <w:unhideWhenUsed/>
    <w:rsid w:val="002D2C99"/>
    <w:pPr>
      <w:numPr>
        <w:numId w:val="4"/>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1"/>
      </w:numPr>
      <w:contextualSpacing/>
    </w:pPr>
  </w:style>
  <w:style w:type="character" w:customStyle="1" w:styleId="BodyText2Char">
    <w:name w:val="Body Text 2 Char"/>
    <w:basedOn w:val="DefaultParagraphFont"/>
    <w:link w:val="BodyText2"/>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5"/>
      </w:numPr>
      <w:contextualSpacing/>
    </w:pPr>
  </w:style>
  <w:style w:type="paragraph" w:styleId="ListBullet3">
    <w:name w:val="List Bullet 3"/>
    <w:basedOn w:val="Normal"/>
    <w:uiPriority w:val="99"/>
    <w:semiHidden/>
    <w:rsid w:val="002D2C99"/>
    <w:pPr>
      <w:numPr>
        <w:numId w:val="6"/>
      </w:numPr>
      <w:contextualSpacing/>
    </w:pPr>
  </w:style>
  <w:style w:type="paragraph" w:styleId="ListBullet4">
    <w:name w:val="List Bullet 4"/>
    <w:basedOn w:val="Normal"/>
    <w:uiPriority w:val="99"/>
    <w:semiHidden/>
    <w:rsid w:val="002D2C99"/>
    <w:pPr>
      <w:numPr>
        <w:numId w:val="7"/>
      </w:numPr>
      <w:contextualSpacing/>
    </w:pPr>
  </w:style>
  <w:style w:type="paragraph" w:styleId="ListBullet5">
    <w:name w:val="List Bullet 5"/>
    <w:basedOn w:val="Normal"/>
    <w:uiPriority w:val="99"/>
    <w:semiHidden/>
    <w:rsid w:val="002D2C99"/>
    <w:pPr>
      <w:numPr>
        <w:numId w:val="8"/>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9"/>
      </w:numPr>
      <w:contextualSpacing/>
    </w:pPr>
  </w:style>
  <w:style w:type="paragraph" w:styleId="ListNumber2">
    <w:name w:val="List Number 2"/>
    <w:basedOn w:val="Normal"/>
    <w:uiPriority w:val="99"/>
    <w:semiHidden/>
    <w:rsid w:val="002D2C99"/>
    <w:pPr>
      <w:numPr>
        <w:numId w:val="10"/>
      </w:numPr>
      <w:contextualSpacing/>
    </w:pPr>
  </w:style>
  <w:style w:type="paragraph" w:styleId="ListNumber3">
    <w:name w:val="List Number 3"/>
    <w:basedOn w:val="Normal"/>
    <w:uiPriority w:val="99"/>
    <w:semiHidden/>
    <w:rsid w:val="002D2C99"/>
    <w:pPr>
      <w:numPr>
        <w:numId w:val="11"/>
      </w:numPr>
      <w:contextualSpacing/>
    </w:pPr>
  </w:style>
  <w:style w:type="paragraph" w:styleId="ListNumber4">
    <w:name w:val="List Number 4"/>
    <w:basedOn w:val="Normal"/>
    <w:uiPriority w:val="99"/>
    <w:semiHidden/>
    <w:rsid w:val="002D2C99"/>
    <w:pPr>
      <w:numPr>
        <w:numId w:val="12"/>
      </w:numPr>
      <w:contextualSpacing/>
    </w:pPr>
  </w:style>
  <w:style w:type="paragraph" w:styleId="ListNumber5">
    <w:name w:val="List Number 5"/>
    <w:basedOn w:val="Normal"/>
    <w:uiPriority w:val="99"/>
    <w:semiHidden/>
    <w:rsid w:val="002D2C99"/>
    <w:pPr>
      <w:numPr>
        <w:numId w:val="13"/>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2D2C99"/>
    <w:rPr>
      <w:rFonts w:ascii="Consolas" w:eastAsiaTheme="minorEastAsia" w:hAnsi="Consolas" w:cs="Consolas"/>
      <w:sz w:val="20"/>
      <w:szCs w:val="20"/>
    </w:rPr>
  </w:style>
  <w:style w:type="table" w:styleId="MediumGrid1">
    <w:name w:val="Medium Grid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ParaCar">
    <w:name w:val="Ju_Para Car"/>
    <w:link w:val="ECHRPara"/>
    <w:uiPriority w:val="12"/>
    <w:rsid w:val="005A16EE"/>
    <w:rPr>
      <w:rFonts w:eastAsiaTheme="minorEastAsia"/>
      <w:sz w:val="24"/>
    </w:rPr>
  </w:style>
  <w:style w:type="character" w:customStyle="1" w:styleId="JuHIRomanChar">
    <w:name w:val="Ju_H_I_Roman Char"/>
    <w:link w:val="ECHRHeading1"/>
    <w:uiPriority w:val="19"/>
    <w:rsid w:val="005A16EE"/>
    <w:rPr>
      <w:rFonts w:asciiTheme="majorHAnsi" w:eastAsiaTheme="majorEastAsia" w:hAnsiTheme="majorHAnsi" w:cstheme="majorBidi"/>
      <w:bCs/>
      <w:sz w:val="24"/>
      <w:szCs w:val="28"/>
    </w:rPr>
  </w:style>
  <w:style w:type="character" w:customStyle="1" w:styleId="JuJudgesChar">
    <w:name w:val="Ju_Judges Char"/>
    <w:link w:val="ECHRDecisionBody"/>
    <w:uiPriority w:val="11"/>
    <w:rsid w:val="005A16EE"/>
    <w:rPr>
      <w:rFonts w:eastAsiaTheme="minorEastAsia"/>
      <w:sz w:val="24"/>
    </w:rPr>
  </w:style>
  <w:style w:type="character" w:customStyle="1" w:styleId="JuNames0">
    <w:name w:val="Ju_Names"/>
    <w:rsid w:val="005A16EE"/>
    <w:rPr>
      <w:rFonts w:ascii="Times New Roman" w:hAnsi="Times New Roman" w:cs="Times New Roman"/>
      <w:smallCaps/>
    </w:rPr>
  </w:style>
  <w:style w:type="paragraph" w:customStyle="1" w:styleId="ECHRFooter">
    <w:name w:val="ECHR_Footer"/>
    <w:aliases w:val="Footer_ECHR"/>
    <w:basedOn w:val="Footer"/>
    <w:uiPriority w:val="57"/>
    <w:semiHidden/>
    <w:rsid w:val="005A16EE"/>
    <w:pPr>
      <w:jc w:val="left"/>
    </w:pPr>
    <w:rPr>
      <w:rFonts w:eastAsiaTheme="minorHAnsi"/>
      <w:sz w:val="8"/>
    </w:rPr>
  </w:style>
  <w:style w:type="paragraph" w:customStyle="1" w:styleId="ECHRFooterLine">
    <w:name w:val="ECHR_Footer_Line"/>
    <w:aliases w:val="Footer_Line"/>
    <w:basedOn w:val="Normal"/>
    <w:next w:val="ECHRFooter"/>
    <w:uiPriority w:val="57"/>
    <w:semiHidden/>
    <w:rsid w:val="005A16E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rsid w:val="005A16EE"/>
    <w:pPr>
      <w:numPr>
        <w:numId w:val="14"/>
      </w:numPr>
      <w:jc w:val="left"/>
    </w:pPr>
    <w:rPr>
      <w:b/>
    </w:rPr>
  </w:style>
  <w:style w:type="paragraph" w:customStyle="1" w:styleId="ECHRTitleCentre2">
    <w:name w:val="ECHR_Title_Centre_2"/>
    <w:aliases w:val="Dec_H_Case"/>
    <w:basedOn w:val="Normal"/>
    <w:next w:val="ECHRPara"/>
    <w:uiPriority w:val="8"/>
    <w:semiHidden/>
    <w:rsid w:val="005A16EE"/>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5A16EE"/>
    <w:pPr>
      <w:spacing w:before="720" w:after="240"/>
      <w:jc w:val="center"/>
      <w:outlineLvl w:val="0"/>
    </w:pPr>
    <w:rPr>
      <w:rFonts w:asciiTheme="majorHAnsi" w:hAnsiTheme="majorHAnsi"/>
      <w:b/>
      <w:caps/>
    </w:rPr>
  </w:style>
  <w:style w:type="paragraph" w:customStyle="1" w:styleId="DecHTitle">
    <w:name w:val="Dec_H_Title"/>
    <w:basedOn w:val="ECHRTitleCentre1"/>
    <w:uiPriority w:val="7"/>
    <w:semiHidden/>
    <w:rsid w:val="005A16EE"/>
    <w:rPr>
      <w:lang w:val="fr-FR" w:eastAsia="fr-FR"/>
    </w:rPr>
  </w:style>
  <w:style w:type="paragraph" w:customStyle="1" w:styleId="DecList">
    <w:name w:val="Dec_List"/>
    <w:basedOn w:val="Normal"/>
    <w:uiPriority w:val="9"/>
    <w:semiHidden/>
    <w:rsid w:val="005A16EE"/>
    <w:pPr>
      <w:spacing w:before="240"/>
      <w:ind w:left="284"/>
    </w:pPr>
  </w:style>
  <w:style w:type="numbering" w:customStyle="1" w:styleId="1111111">
    <w:name w:val="1 / 1.1 / 1.1.11"/>
    <w:basedOn w:val="NoList"/>
    <w:next w:val="111111"/>
    <w:uiPriority w:val="99"/>
    <w:semiHidden/>
    <w:rsid w:val="005A16EE"/>
    <w:pPr>
      <w:numPr>
        <w:numId w:val="15"/>
      </w:numPr>
    </w:pPr>
  </w:style>
  <w:style w:type="numbering" w:customStyle="1" w:styleId="1ai1">
    <w:name w:val="1 / a / i1"/>
    <w:basedOn w:val="NoList"/>
    <w:next w:val="1ai"/>
    <w:uiPriority w:val="99"/>
    <w:semiHidden/>
    <w:rsid w:val="005A16EE"/>
    <w:pPr>
      <w:numPr>
        <w:numId w:val="16"/>
      </w:numPr>
    </w:pPr>
  </w:style>
  <w:style w:type="numbering" w:customStyle="1" w:styleId="ArticleSection1">
    <w:name w:val="Article / Section1"/>
    <w:basedOn w:val="NoList"/>
    <w:next w:val="ArticleSection"/>
    <w:uiPriority w:val="99"/>
    <w:semiHidden/>
    <w:rsid w:val="005A16EE"/>
    <w:pPr>
      <w:numPr>
        <w:numId w:val="17"/>
      </w:numPr>
    </w:pPr>
  </w:style>
  <w:style w:type="paragraph" w:styleId="Revision">
    <w:name w:val="Revision"/>
    <w:hidden/>
    <w:uiPriority w:val="99"/>
    <w:semiHidden/>
    <w:rsid w:val="005A16EE"/>
    <w:rPr>
      <w:rFonts w:eastAsiaTheme="minorEastAsia"/>
      <w:sz w:val="24"/>
    </w:rPr>
  </w:style>
  <w:style w:type="character" w:customStyle="1" w:styleId="ECHRParaChar">
    <w:name w:val="ECHR_Para Char"/>
    <w:aliases w:val="Ju_Para Char"/>
    <w:uiPriority w:val="12"/>
    <w:rsid w:val="00C579A5"/>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semiHidden/>
    <w:qFormat/>
    <w:rsid w:val="002D2C99"/>
    <w:rPr>
      <w:b/>
      <w:bCs/>
    </w:rPr>
  </w:style>
  <w:style w:type="paragraph" w:styleId="NoSpacing">
    <w:name w:val="No Spacing"/>
    <w:basedOn w:val="Normal"/>
    <w:link w:val="NoSpacingChar"/>
    <w:uiPriority w:val="99"/>
    <w:semiHidden/>
    <w:qFormat/>
    <w:rsid w:val="002D2C99"/>
    <w:rPr>
      <w:sz w:val="22"/>
    </w:rPr>
  </w:style>
  <w:style w:type="character" w:customStyle="1" w:styleId="NoSpacingChar">
    <w:name w:val="No Spacing Char"/>
    <w:basedOn w:val="DefaultParagraphFont"/>
    <w:link w:val="NoSpacing"/>
    <w:semiHidden/>
    <w:rsid w:val="002D2C99"/>
    <w:rPr>
      <w:rFonts w:eastAsiaTheme="minorEastAsia"/>
    </w:rPr>
  </w:style>
  <w:style w:type="paragraph" w:customStyle="1" w:styleId="ECHRParaQuote">
    <w:name w:val="ECHR_Para_Quote"/>
    <w:aliases w:val="Ju_Quot"/>
    <w:basedOn w:val="Normal"/>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qFormat/>
    <w:rsid w:val="002D2C99"/>
    <w:pPr>
      <w:tabs>
        <w:tab w:val="center" w:pos="6407"/>
      </w:tabs>
      <w:spacing w:before="720"/>
      <w:jc w:val="right"/>
    </w:pPr>
  </w:style>
  <w:style w:type="paragraph" w:customStyle="1" w:styleId="JuSigned">
    <w:name w:val="Ju_Signed"/>
    <w:basedOn w:val="Normal"/>
    <w:next w:val="JuParaLast"/>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semiHidden/>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link w:val="JuHIRomanChar"/>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57"/>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semiHidden/>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semiHidden/>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semiHidden/>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57"/>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2D2C99"/>
    <w:rPr>
      <w:b/>
      <w:bCs/>
    </w:rPr>
  </w:style>
  <w:style w:type="paragraph" w:styleId="IntenseQuote">
    <w:name w:val="Intense Quote"/>
    <w:basedOn w:val="Normal"/>
    <w:next w:val="Normal"/>
    <w:link w:val="IntenseQuoteChar"/>
    <w:uiPriority w:val="99"/>
    <w:semiHidden/>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semiHidden/>
    <w:rsid w:val="002D2C99"/>
    <w:rPr>
      <w:rFonts w:eastAsiaTheme="minorEastAsia"/>
      <w:b/>
      <w:bCs/>
      <w:i/>
      <w:iCs/>
      <w:lang w:bidi="en-US"/>
    </w:rPr>
  </w:style>
  <w:style w:type="character" w:styleId="IntenseReference">
    <w:name w:val="Intense Reference"/>
    <w:uiPriority w:val="99"/>
    <w:semiHidden/>
    <w:qFormat/>
    <w:rsid w:val="002D2C99"/>
    <w:rPr>
      <w:smallCaps/>
      <w:spacing w:val="5"/>
      <w:u w:val="single"/>
    </w:rPr>
  </w:style>
  <w:style w:type="paragraph" w:styleId="ListParagraph">
    <w:name w:val="List Paragraph"/>
    <w:basedOn w:val="Normal"/>
    <w:uiPriority w:val="99"/>
    <w:semiHidden/>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semiHidden/>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semiHidden/>
    <w:rsid w:val="002D2C99"/>
    <w:rPr>
      <w:rFonts w:eastAsiaTheme="minorEastAsia"/>
      <w:i/>
      <w:iCs/>
      <w:lang w:bidi="en-US"/>
    </w:rPr>
  </w:style>
  <w:style w:type="character" w:styleId="SubtleReference">
    <w:name w:val="Subtle Reference"/>
    <w:uiPriority w:val="99"/>
    <w:semiHidden/>
    <w:qFormat/>
    <w:rsid w:val="002D2C99"/>
    <w:rPr>
      <w:smallCaps/>
    </w:rPr>
  </w:style>
  <w:style w:type="table" w:styleId="TableGrid">
    <w:name w:val="Table Grid"/>
    <w:basedOn w:val="TableNormal"/>
    <w:uiPriority w:val="99"/>
    <w:semiHidden/>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semiHidden/>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2"/>
      </w:numPr>
    </w:pPr>
  </w:style>
  <w:style w:type="numbering" w:styleId="1ai">
    <w:name w:val="Outline List 1"/>
    <w:basedOn w:val="NoList"/>
    <w:uiPriority w:val="99"/>
    <w:semiHidden/>
    <w:unhideWhenUsed/>
    <w:rsid w:val="002D2C99"/>
    <w:pPr>
      <w:numPr>
        <w:numId w:val="3"/>
      </w:numPr>
    </w:pPr>
  </w:style>
  <w:style w:type="paragraph" w:customStyle="1" w:styleId="ECHRPara">
    <w:name w:val="ECHR_Para"/>
    <w:aliases w:val="Ju_Para,Para"/>
    <w:basedOn w:val="Normal"/>
    <w:link w:val="JuParaCar"/>
    <w:uiPriority w:val="12"/>
    <w:qFormat/>
    <w:rsid w:val="002D2C99"/>
    <w:pPr>
      <w:ind w:firstLine="284"/>
    </w:pPr>
  </w:style>
  <w:style w:type="numbering" w:styleId="ArticleSection">
    <w:name w:val="Outline List 3"/>
    <w:basedOn w:val="NoList"/>
    <w:uiPriority w:val="99"/>
    <w:semiHidden/>
    <w:unhideWhenUsed/>
    <w:rsid w:val="002D2C99"/>
    <w:pPr>
      <w:numPr>
        <w:numId w:val="4"/>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link w:val="JuJudgesChar"/>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1"/>
      </w:numPr>
      <w:contextualSpacing/>
    </w:pPr>
  </w:style>
  <w:style w:type="character" w:customStyle="1" w:styleId="BodyText2Char">
    <w:name w:val="Body Text 2 Char"/>
    <w:basedOn w:val="DefaultParagraphFont"/>
    <w:link w:val="BodyText2"/>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rsid w:val="002D2C99"/>
    <w:rPr>
      <w:rFonts w:eastAsiaTheme="minorEastAsia"/>
      <w:sz w:val="24"/>
    </w:rPr>
  </w:style>
  <w:style w:type="table" w:styleId="ColorfulGrid">
    <w:name w:val="Colorful Grid"/>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5"/>
      </w:numPr>
      <w:contextualSpacing/>
    </w:pPr>
  </w:style>
  <w:style w:type="paragraph" w:styleId="ListBullet3">
    <w:name w:val="List Bullet 3"/>
    <w:basedOn w:val="Normal"/>
    <w:uiPriority w:val="99"/>
    <w:semiHidden/>
    <w:rsid w:val="002D2C99"/>
    <w:pPr>
      <w:numPr>
        <w:numId w:val="6"/>
      </w:numPr>
      <w:contextualSpacing/>
    </w:pPr>
  </w:style>
  <w:style w:type="paragraph" w:styleId="ListBullet4">
    <w:name w:val="List Bullet 4"/>
    <w:basedOn w:val="Normal"/>
    <w:uiPriority w:val="99"/>
    <w:semiHidden/>
    <w:rsid w:val="002D2C99"/>
    <w:pPr>
      <w:numPr>
        <w:numId w:val="7"/>
      </w:numPr>
      <w:contextualSpacing/>
    </w:pPr>
  </w:style>
  <w:style w:type="paragraph" w:styleId="ListBullet5">
    <w:name w:val="List Bullet 5"/>
    <w:basedOn w:val="Normal"/>
    <w:uiPriority w:val="99"/>
    <w:semiHidden/>
    <w:rsid w:val="002D2C99"/>
    <w:pPr>
      <w:numPr>
        <w:numId w:val="8"/>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9"/>
      </w:numPr>
      <w:contextualSpacing/>
    </w:pPr>
  </w:style>
  <w:style w:type="paragraph" w:styleId="ListNumber2">
    <w:name w:val="List Number 2"/>
    <w:basedOn w:val="Normal"/>
    <w:uiPriority w:val="99"/>
    <w:semiHidden/>
    <w:rsid w:val="002D2C99"/>
    <w:pPr>
      <w:numPr>
        <w:numId w:val="10"/>
      </w:numPr>
      <w:contextualSpacing/>
    </w:pPr>
  </w:style>
  <w:style w:type="paragraph" w:styleId="ListNumber3">
    <w:name w:val="List Number 3"/>
    <w:basedOn w:val="Normal"/>
    <w:uiPriority w:val="99"/>
    <w:semiHidden/>
    <w:rsid w:val="002D2C99"/>
    <w:pPr>
      <w:numPr>
        <w:numId w:val="11"/>
      </w:numPr>
      <w:contextualSpacing/>
    </w:pPr>
  </w:style>
  <w:style w:type="paragraph" w:styleId="ListNumber4">
    <w:name w:val="List Number 4"/>
    <w:basedOn w:val="Normal"/>
    <w:uiPriority w:val="99"/>
    <w:semiHidden/>
    <w:rsid w:val="002D2C99"/>
    <w:pPr>
      <w:numPr>
        <w:numId w:val="12"/>
      </w:numPr>
      <w:contextualSpacing/>
    </w:pPr>
  </w:style>
  <w:style w:type="paragraph" w:styleId="ListNumber5">
    <w:name w:val="List Number 5"/>
    <w:basedOn w:val="Normal"/>
    <w:uiPriority w:val="99"/>
    <w:semiHidden/>
    <w:rsid w:val="002D2C99"/>
    <w:pPr>
      <w:numPr>
        <w:numId w:val="13"/>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rsid w:val="002D2C99"/>
    <w:rPr>
      <w:rFonts w:ascii="Consolas" w:eastAsiaTheme="minorEastAsia" w:hAnsi="Consolas" w:cs="Consolas"/>
      <w:sz w:val="20"/>
      <w:szCs w:val="20"/>
    </w:rPr>
  </w:style>
  <w:style w:type="table" w:styleId="MediumGrid1">
    <w:name w:val="Medium Grid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ParaCar">
    <w:name w:val="Ju_Para Car"/>
    <w:link w:val="ECHRPara"/>
    <w:uiPriority w:val="12"/>
    <w:rsid w:val="005A16EE"/>
    <w:rPr>
      <w:rFonts w:eastAsiaTheme="minorEastAsia"/>
      <w:sz w:val="24"/>
    </w:rPr>
  </w:style>
  <w:style w:type="character" w:customStyle="1" w:styleId="JuHIRomanChar">
    <w:name w:val="Ju_H_I_Roman Char"/>
    <w:link w:val="ECHRHeading1"/>
    <w:uiPriority w:val="19"/>
    <w:rsid w:val="005A16EE"/>
    <w:rPr>
      <w:rFonts w:asciiTheme="majorHAnsi" w:eastAsiaTheme="majorEastAsia" w:hAnsiTheme="majorHAnsi" w:cstheme="majorBidi"/>
      <w:bCs/>
      <w:sz w:val="24"/>
      <w:szCs w:val="28"/>
    </w:rPr>
  </w:style>
  <w:style w:type="character" w:customStyle="1" w:styleId="JuJudgesChar">
    <w:name w:val="Ju_Judges Char"/>
    <w:link w:val="ECHRDecisionBody"/>
    <w:uiPriority w:val="11"/>
    <w:rsid w:val="005A16EE"/>
    <w:rPr>
      <w:rFonts w:eastAsiaTheme="minorEastAsia"/>
      <w:sz w:val="24"/>
    </w:rPr>
  </w:style>
  <w:style w:type="character" w:customStyle="1" w:styleId="JuNames0">
    <w:name w:val="Ju_Names"/>
    <w:rsid w:val="005A16EE"/>
    <w:rPr>
      <w:rFonts w:ascii="Times New Roman" w:hAnsi="Times New Roman" w:cs="Times New Roman"/>
      <w:smallCaps/>
    </w:rPr>
  </w:style>
  <w:style w:type="paragraph" w:customStyle="1" w:styleId="ECHRFooter">
    <w:name w:val="ECHR_Footer"/>
    <w:aliases w:val="Footer_ECHR"/>
    <w:basedOn w:val="Footer"/>
    <w:uiPriority w:val="57"/>
    <w:semiHidden/>
    <w:rsid w:val="005A16EE"/>
    <w:pPr>
      <w:jc w:val="left"/>
    </w:pPr>
    <w:rPr>
      <w:rFonts w:eastAsiaTheme="minorHAnsi"/>
      <w:sz w:val="8"/>
    </w:rPr>
  </w:style>
  <w:style w:type="paragraph" w:customStyle="1" w:styleId="ECHRFooterLine">
    <w:name w:val="ECHR_Footer_Line"/>
    <w:aliases w:val="Footer_Line"/>
    <w:basedOn w:val="Normal"/>
    <w:next w:val="ECHRFooter"/>
    <w:uiPriority w:val="57"/>
    <w:semiHidden/>
    <w:rsid w:val="005A16EE"/>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rsid w:val="005A16EE"/>
    <w:pPr>
      <w:numPr>
        <w:numId w:val="14"/>
      </w:numPr>
      <w:jc w:val="left"/>
    </w:pPr>
    <w:rPr>
      <w:b/>
    </w:rPr>
  </w:style>
  <w:style w:type="paragraph" w:customStyle="1" w:styleId="ECHRTitleCentre2">
    <w:name w:val="ECHR_Title_Centre_2"/>
    <w:aliases w:val="Dec_H_Case"/>
    <w:basedOn w:val="Normal"/>
    <w:next w:val="ECHRPara"/>
    <w:uiPriority w:val="8"/>
    <w:semiHidden/>
    <w:rsid w:val="005A16EE"/>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5A16EE"/>
    <w:pPr>
      <w:spacing w:before="720" w:after="240"/>
      <w:jc w:val="center"/>
      <w:outlineLvl w:val="0"/>
    </w:pPr>
    <w:rPr>
      <w:rFonts w:asciiTheme="majorHAnsi" w:hAnsiTheme="majorHAnsi"/>
      <w:b/>
      <w:caps/>
    </w:rPr>
  </w:style>
  <w:style w:type="paragraph" w:customStyle="1" w:styleId="DecHTitle">
    <w:name w:val="Dec_H_Title"/>
    <w:basedOn w:val="ECHRTitleCentre1"/>
    <w:uiPriority w:val="7"/>
    <w:semiHidden/>
    <w:rsid w:val="005A16EE"/>
    <w:rPr>
      <w:lang w:val="fr-FR" w:eastAsia="fr-FR"/>
    </w:rPr>
  </w:style>
  <w:style w:type="paragraph" w:customStyle="1" w:styleId="DecList">
    <w:name w:val="Dec_List"/>
    <w:basedOn w:val="Normal"/>
    <w:uiPriority w:val="9"/>
    <w:semiHidden/>
    <w:rsid w:val="005A16EE"/>
    <w:pPr>
      <w:spacing w:before="240"/>
      <w:ind w:left="284"/>
    </w:pPr>
  </w:style>
  <w:style w:type="numbering" w:customStyle="1" w:styleId="1111111">
    <w:name w:val="1 / 1.1 / 1.1.11"/>
    <w:basedOn w:val="NoList"/>
    <w:next w:val="111111"/>
    <w:uiPriority w:val="99"/>
    <w:semiHidden/>
    <w:rsid w:val="005A16EE"/>
    <w:pPr>
      <w:numPr>
        <w:numId w:val="15"/>
      </w:numPr>
    </w:pPr>
  </w:style>
  <w:style w:type="numbering" w:customStyle="1" w:styleId="1ai1">
    <w:name w:val="1 / a / i1"/>
    <w:basedOn w:val="NoList"/>
    <w:next w:val="1ai"/>
    <w:uiPriority w:val="99"/>
    <w:semiHidden/>
    <w:rsid w:val="005A16EE"/>
    <w:pPr>
      <w:numPr>
        <w:numId w:val="16"/>
      </w:numPr>
    </w:pPr>
  </w:style>
  <w:style w:type="numbering" w:customStyle="1" w:styleId="ArticleSection1">
    <w:name w:val="Article / Section1"/>
    <w:basedOn w:val="NoList"/>
    <w:next w:val="ArticleSection"/>
    <w:uiPriority w:val="99"/>
    <w:semiHidden/>
    <w:rsid w:val="005A16EE"/>
    <w:pPr>
      <w:numPr>
        <w:numId w:val="17"/>
      </w:numPr>
    </w:pPr>
  </w:style>
  <w:style w:type="paragraph" w:styleId="Revision">
    <w:name w:val="Revision"/>
    <w:hidden/>
    <w:uiPriority w:val="99"/>
    <w:semiHidden/>
    <w:rsid w:val="005A16EE"/>
    <w:rPr>
      <w:rFonts w:eastAsiaTheme="minorEastAsia"/>
      <w:sz w:val="24"/>
    </w:rPr>
  </w:style>
  <w:style w:type="character" w:customStyle="1" w:styleId="ECHRParaChar">
    <w:name w:val="ECHR_Para Char"/>
    <w:aliases w:val="Ju_Para Char"/>
    <w:uiPriority w:val="12"/>
    <w:rsid w:val="00C579A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udoc.echr.coe.int/sites/fra/Pages/search.aspx" TargetMode="External"/><Relationship Id="rId18" Type="http://schemas.openxmlformats.org/officeDocument/2006/relationships/hyperlink" Target="http://hudoc.echr.coe.int/sites/fra/Pages/search.aspx" TargetMode="External"/><Relationship Id="rId26" Type="http://schemas.openxmlformats.org/officeDocument/2006/relationships/hyperlink" Target="http://hudoc.echr.coe.int/sites/fra/Pages/search.aspx" TargetMode="External"/><Relationship Id="rId39" Type="http://schemas.openxmlformats.org/officeDocument/2006/relationships/footer" Target="footer3.xml"/><Relationship Id="rId21" Type="http://schemas.openxmlformats.org/officeDocument/2006/relationships/hyperlink" Target="http://hudoc.echr.coe.int/sites/fra/Pages/search.aspx" TargetMode="External"/><Relationship Id="rId34" Type="http://schemas.openxmlformats.org/officeDocument/2006/relationships/hyperlink" Target="http://hudoc.echr.coe.int/sites/fra/Pages/search.aspx"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hudoc.echr.coe.int/sites/fra/Pages/search.aspx" TargetMode="External"/><Relationship Id="rId29" Type="http://schemas.openxmlformats.org/officeDocument/2006/relationships/hyperlink" Target="http://hudoc.echr.coe.int/sites/fra/Pages/searc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fra/Pages/search.aspx" TargetMode="External"/><Relationship Id="rId24" Type="http://schemas.openxmlformats.org/officeDocument/2006/relationships/hyperlink" Target="http://hudoc.echr.coe.int/sites/fra/Pages/search.aspx" TargetMode="External"/><Relationship Id="rId32" Type="http://schemas.openxmlformats.org/officeDocument/2006/relationships/hyperlink" Target="http://hudoc.echr.coe.int/sites/fra/Pages/search.aspx" TargetMode="External"/><Relationship Id="rId37" Type="http://schemas.openxmlformats.org/officeDocument/2006/relationships/header" Target="header3.xml"/><Relationship Id="rId40" Type="http://schemas.openxmlformats.org/officeDocument/2006/relationships/header" Target="head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hudoc.echr.coe.int/sites/fra/Pages/search.aspx" TargetMode="External"/><Relationship Id="rId23" Type="http://schemas.openxmlformats.org/officeDocument/2006/relationships/hyperlink" Target="http://hudoc.echr.coe.int/sites/fra/Pages/search.aspx" TargetMode="External"/><Relationship Id="rId28" Type="http://schemas.openxmlformats.org/officeDocument/2006/relationships/hyperlink" Target="http://hudoc.echr.coe.int/sites/fra/Pages/search.aspx"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hudoc.echr.coe.int/sites/fra/Pages/search.aspx" TargetMode="External"/><Relationship Id="rId31" Type="http://schemas.openxmlformats.org/officeDocument/2006/relationships/hyperlink" Target="http://hudoc.echr.coe.int/sites/fra/Pages/search.aspx"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hudoc.echr.coe.int/sites/fra/Pages/search.aspx" TargetMode="External"/><Relationship Id="rId22" Type="http://schemas.openxmlformats.org/officeDocument/2006/relationships/hyperlink" Target="http://hudoc.echr.coe.int/sites/fra/Pages/search.aspx" TargetMode="External"/><Relationship Id="rId27" Type="http://schemas.openxmlformats.org/officeDocument/2006/relationships/hyperlink" Target="http://hudoc.echr.coe.int/sites/fra/Pages/search.aspx" TargetMode="External"/><Relationship Id="rId30" Type="http://schemas.openxmlformats.org/officeDocument/2006/relationships/hyperlink" Target="http://hudoc.echr.coe.int/sites/fra/Pages/search.aspx" TargetMode="External"/><Relationship Id="rId35" Type="http://schemas.openxmlformats.org/officeDocument/2006/relationships/hyperlink" Target="http://hudoc.echr.coe.int/sites/fra/Pages/search.aspx"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hudoc.echr.coe.int/sites/fra/Pages/search.aspx" TargetMode="External"/><Relationship Id="rId17" Type="http://schemas.openxmlformats.org/officeDocument/2006/relationships/hyperlink" Target="http://hudoc.echr.coe.int/sites/fra/Pages/search.aspx" TargetMode="External"/><Relationship Id="rId25" Type="http://schemas.openxmlformats.org/officeDocument/2006/relationships/hyperlink" Target="http://hudoc.echr.coe.int/sites/fra/Pages/search.aspx" TargetMode="External"/><Relationship Id="rId33" Type="http://schemas.openxmlformats.org/officeDocument/2006/relationships/hyperlink" Target="http://hudoc.echr.coe.int/sites/fra/Pages/search.aspx" TargetMode="External"/><Relationship Id="rId38" Type="http://schemas.openxmlformats.org/officeDocument/2006/relationships/footer" Target="footer2.xml"/><Relationship Id="rId20" Type="http://schemas.openxmlformats.org/officeDocument/2006/relationships/hyperlink" Target="http://hudoc.echr.coe.int/sites/fra/Pages/search.aspx" TargetMode="External"/><Relationship Id="rId4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72068-33C2-4B11-B6A0-BBA50FA19BBE}"/>
</file>

<file path=customXml/itemProps2.xml><?xml version="1.0" encoding="utf-8"?>
<ds:datastoreItem xmlns:ds="http://schemas.openxmlformats.org/officeDocument/2006/customXml" ds:itemID="{1D3AB91D-EA31-4DCE-889C-C67F60C6F836}"/>
</file>

<file path=customXml/itemProps3.xml><?xml version="1.0" encoding="utf-8"?>
<ds:datastoreItem xmlns:ds="http://schemas.openxmlformats.org/officeDocument/2006/customXml" ds:itemID="{788C98C9-F263-4703-BEE1-5A4F2B7D489A}"/>
</file>

<file path=customXml/itemProps4.xml><?xml version="1.0" encoding="utf-8"?>
<ds:datastoreItem xmlns:ds="http://schemas.openxmlformats.org/officeDocument/2006/customXml" ds:itemID="{DF38DE33-5F00-48CB-8047-612F80306955}"/>
</file>

<file path=docProps/app.xml><?xml version="1.0" encoding="utf-8"?>
<Properties xmlns="http://schemas.openxmlformats.org/officeDocument/2006/extended-properties" xmlns:vt="http://schemas.openxmlformats.org/officeDocument/2006/docPropsVTypes">
  <Template>Normal.dotm</Template>
  <TotalTime>0</TotalTime>
  <Pages>1</Pages>
  <Words>4875</Words>
  <Characters>27789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2014-12-02T15:56:00Z</dcterms:created>
  <dcterms:modified xsi:type="dcterms:W3CDTF">2014-12-02T15:56:00Z</dcterms:modified>
  <cp:category>ECHR Template</cp:category>
</cp:coreProperties>
</file>